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rPr>
          <w:rFonts w:hAnsi="宋体"/>
          <w:color w:val="000000" w:themeColor="text1"/>
          <w:highlight w:val="none"/>
          <w14:textFill>
            <w14:solidFill>
              <w14:schemeClr w14:val="tx1"/>
            </w14:solidFill>
          </w14:textFill>
        </w:rPr>
      </w:pPr>
    </w:p>
    <w:p>
      <w:pPr>
        <w:pStyle w:val="15"/>
        <w:ind w:left="0" w:firstLine="0"/>
        <w:rPr>
          <w:rFonts w:hAnsi="宋体"/>
          <w:color w:val="000000" w:themeColor="text1"/>
          <w:highlight w:val="none"/>
          <w14:textFill>
            <w14:solidFill>
              <w14:schemeClr w14:val="tx1"/>
            </w14:solidFill>
          </w14:textFill>
        </w:rPr>
      </w:pPr>
    </w:p>
    <w:p>
      <w:pPr>
        <w:spacing w:before="0"/>
        <w:ind w:right="-57" w:firstLine="0"/>
        <w:jc w:val="center"/>
        <w:rPr>
          <w:rFonts w:ascii="宋体" w:hAnsi="宋体"/>
          <w:color w:val="000000" w:themeColor="text1"/>
          <w:sz w:val="72"/>
          <w:szCs w:val="72"/>
          <w:highlight w:val="none"/>
          <w14:textFill>
            <w14:solidFill>
              <w14:schemeClr w14:val="tx1"/>
            </w14:solidFill>
          </w14:textFill>
        </w:rPr>
      </w:pPr>
      <w:r>
        <w:rPr>
          <w:rFonts w:hint="eastAsia" w:ascii="宋体" w:hAnsi="宋体"/>
          <w:b/>
          <w:color w:val="000000" w:themeColor="text1"/>
          <w:spacing w:val="-4"/>
          <w:sz w:val="44"/>
          <w:szCs w:val="44"/>
          <w:highlight w:val="none"/>
          <w:lang w:val="en-US" w:eastAsia="zh-CN"/>
          <w14:textFill>
            <w14:solidFill>
              <w14:schemeClr w14:val="tx1"/>
            </w14:solidFill>
          </w14:textFill>
        </w:rPr>
        <w:t>南宁市白沙半岛片区城中村改造项目安置住房小区4号地块配套基础设施-纵一路设计</w:t>
      </w:r>
      <w:r>
        <w:rPr>
          <w:rFonts w:hint="eastAsia" w:ascii="宋体" w:hAnsi="宋体"/>
          <w:color w:val="000000" w:themeColor="text1"/>
          <w:sz w:val="72"/>
          <w:szCs w:val="72"/>
          <w:highlight w:val="none"/>
          <w14:textFill>
            <w14:solidFill>
              <w14:schemeClr w14:val="tx1"/>
            </w14:solidFill>
          </w14:textFill>
        </w:rPr>
        <w:t>比选</w:t>
      </w:r>
      <w:r>
        <w:rPr>
          <w:rFonts w:ascii="宋体" w:hAnsi="宋体"/>
          <w:color w:val="000000" w:themeColor="text1"/>
          <w:sz w:val="72"/>
          <w:szCs w:val="72"/>
          <w:highlight w:val="none"/>
          <w14:textFill>
            <w14:solidFill>
              <w14:schemeClr w14:val="tx1"/>
            </w14:solidFill>
          </w14:textFill>
        </w:rPr>
        <w:t>文件</w:t>
      </w:r>
    </w:p>
    <w:p>
      <w:pPr>
        <w:spacing w:before="720"/>
        <w:ind w:left="1801" w:right="-57" w:hanging="180"/>
        <w:rPr>
          <w:rFonts w:ascii="宋体" w:hAnsi="宋体"/>
          <w:b/>
          <w:color w:val="000000" w:themeColor="text1"/>
          <w:sz w:val="32"/>
          <w:szCs w:val="32"/>
          <w:highlight w:val="none"/>
          <w14:textFill>
            <w14:solidFill>
              <w14:schemeClr w14:val="tx1"/>
            </w14:solidFill>
          </w14:textFill>
        </w:rPr>
      </w:pPr>
    </w:p>
    <w:p>
      <w:pPr>
        <w:spacing w:before="0"/>
        <w:ind w:left="0" w:right="-57" w:firstLine="0"/>
        <w:rPr>
          <w:rFonts w:ascii="宋体" w:hAnsi="宋体"/>
          <w:color w:val="000000" w:themeColor="text1"/>
          <w:highlight w:val="none"/>
          <w14:textFill>
            <w14:solidFill>
              <w14:schemeClr w14:val="tx1"/>
            </w14:solidFill>
          </w14:textFill>
        </w:rPr>
      </w:pPr>
    </w:p>
    <w:p>
      <w:pPr>
        <w:spacing w:before="0"/>
        <w:ind w:left="1801" w:right="-57" w:hanging="180"/>
        <w:rPr>
          <w:rFonts w:hint="eastAsia" w:ascii="宋体" w:hAnsi="宋体" w:eastAsia="宋体"/>
          <w:color w:val="000000" w:themeColor="text1"/>
          <w:sz w:val="30"/>
          <w:szCs w:val="30"/>
          <w:highlight w:val="none"/>
          <w:lang w:eastAsia="zh-CN"/>
          <w14:textFill>
            <w14:solidFill>
              <w14:schemeClr w14:val="tx1"/>
            </w14:solidFill>
          </w14:textFill>
        </w:rPr>
      </w:pPr>
      <w:r>
        <w:rPr>
          <w:rFonts w:ascii="宋体" w:hAnsi="宋体"/>
          <w:b/>
          <w:color w:val="000000" w:themeColor="text1"/>
          <w:sz w:val="32"/>
          <w:szCs w:val="32"/>
          <w:highlight w:val="none"/>
          <w14:textFill>
            <w14:solidFill>
              <w14:schemeClr w14:val="tx1"/>
            </w14:solidFill>
          </w14:textFill>
        </w:rPr>
        <w:t>比选人：</w:t>
      </w:r>
      <w:r>
        <w:rPr>
          <w:rFonts w:hint="eastAsia" w:ascii="宋体" w:hAnsi="宋体"/>
          <w:b/>
          <w:color w:val="000000" w:themeColor="text1"/>
          <w:sz w:val="32"/>
          <w:szCs w:val="32"/>
          <w:highlight w:val="none"/>
          <w:u w:val="single"/>
          <w:lang w:eastAsia="zh-CN"/>
          <w14:textFill>
            <w14:solidFill>
              <w14:schemeClr w14:val="tx1"/>
            </w14:solidFill>
          </w14:textFill>
        </w:rPr>
        <w:t>南宁兴邕城市更新有限责任公司</w:t>
      </w:r>
    </w:p>
    <w:p>
      <w:pPr>
        <w:spacing w:before="0"/>
        <w:ind w:right="-57" w:firstLine="0"/>
        <w:jc w:val="center"/>
        <w:rPr>
          <w:rFonts w:ascii="宋体" w:hAnsi="宋体" w:cs="宋体"/>
          <w:b/>
          <w:color w:val="000000" w:themeColor="text1"/>
          <w:sz w:val="36"/>
          <w:szCs w:val="36"/>
          <w:highlight w:val="none"/>
          <w14:textFill>
            <w14:solidFill>
              <w14:schemeClr w14:val="tx1"/>
            </w14:solidFill>
          </w14:textFill>
        </w:rPr>
        <w:sectPr>
          <w:headerReference r:id="rId5" w:type="default"/>
          <w:footerReference r:id="rId6" w:type="default"/>
          <w:pgSz w:w="11905" w:h="16838"/>
          <w:pgMar w:top="1417" w:right="1417" w:bottom="1417" w:left="1417" w:header="454" w:footer="567" w:gutter="0"/>
          <w:pgNumType w:start="1" w:chapStyle="1"/>
          <w:cols w:space="720" w:num="1"/>
          <w:docGrid w:linePitch="312" w:charSpace="0"/>
        </w:sectPr>
      </w:pPr>
      <w:r>
        <w:rPr>
          <w:rFonts w:hint="eastAsia" w:ascii="宋体" w:hAnsi="宋体"/>
          <w:b/>
          <w:color w:val="000000" w:themeColor="text1"/>
          <w:sz w:val="36"/>
          <w:szCs w:val="36"/>
          <w:highlight w:val="none"/>
          <w14:textFill>
            <w14:solidFill>
              <w14:schemeClr w14:val="tx1"/>
            </w14:solidFill>
          </w14:textFill>
        </w:rPr>
        <w:t>202</w:t>
      </w:r>
      <w:r>
        <w:rPr>
          <w:rFonts w:hint="eastAsia" w:ascii="宋体" w:hAnsi="宋体"/>
          <w:b/>
          <w:color w:val="000000" w:themeColor="text1"/>
          <w:sz w:val="36"/>
          <w:szCs w:val="36"/>
          <w:highlight w:val="none"/>
          <w:lang w:val="en-US" w:eastAsia="zh-CN"/>
          <w14:textFill>
            <w14:solidFill>
              <w14:schemeClr w14:val="tx1"/>
            </w14:solidFill>
          </w14:textFill>
        </w:rPr>
        <w:t>4</w:t>
      </w:r>
      <w:r>
        <w:rPr>
          <w:rFonts w:ascii="宋体" w:hAnsi="宋体"/>
          <w:b/>
          <w:color w:val="000000" w:themeColor="text1"/>
          <w:sz w:val="36"/>
          <w:szCs w:val="36"/>
          <w:highlight w:val="none"/>
          <w14:textFill>
            <w14:solidFill>
              <w14:schemeClr w14:val="tx1"/>
            </w14:solidFill>
          </w14:textFill>
        </w:rPr>
        <w:t>年</w:t>
      </w:r>
      <w:r>
        <w:rPr>
          <w:rFonts w:hint="eastAsia" w:ascii="宋体" w:hAnsi="宋体"/>
          <w:b/>
          <w:color w:val="000000" w:themeColor="text1"/>
          <w:sz w:val="36"/>
          <w:szCs w:val="36"/>
          <w:highlight w:val="none"/>
          <w:lang w:val="en-US" w:eastAsia="zh-CN"/>
          <w14:textFill>
            <w14:solidFill>
              <w14:schemeClr w14:val="tx1"/>
            </w14:solidFill>
          </w14:textFill>
        </w:rPr>
        <w:t xml:space="preserve"> </w:t>
      </w:r>
      <w:r>
        <w:rPr>
          <w:rFonts w:ascii="宋体" w:hAnsi="宋体"/>
          <w:b/>
          <w:color w:val="000000" w:themeColor="text1"/>
          <w:sz w:val="36"/>
          <w:szCs w:val="36"/>
          <w:highlight w:val="none"/>
          <w14:textFill>
            <w14:solidFill>
              <w14:schemeClr w14:val="tx1"/>
            </w14:solidFill>
          </w14:textFill>
        </w:rPr>
        <w:t>月</w:t>
      </w:r>
    </w:p>
    <w:p>
      <w:pPr>
        <w:spacing w:before="0" w:after="0" w:afterAutospacing="0"/>
        <w:ind w:left="0" w:right="0" w:firstLine="0"/>
        <w:rPr>
          <w:rFonts w:ascii="宋体" w:hAnsi="宋体"/>
          <w:color w:val="000000" w:themeColor="text1"/>
          <w:highlight w:val="none"/>
          <w14:textFill>
            <w14:solidFill>
              <w14:schemeClr w14:val="tx1"/>
            </w14:solidFill>
          </w14:textFill>
        </w:rPr>
      </w:pPr>
    </w:p>
    <w:sdt>
      <w:sdtPr>
        <w:rPr>
          <w:rFonts w:hint="eastAsia" w:ascii="宋体" w:hAnsi="宋体" w:eastAsia="宋体" w:cs="宋体"/>
          <w:b w:val="0"/>
          <w:bCs w:val="0"/>
          <w:color w:val="000000" w:themeColor="text1"/>
          <w:sz w:val="21"/>
          <w:szCs w:val="21"/>
          <w:highlight w:val="none"/>
          <w:lang w:val="zh-CN"/>
          <w14:textFill>
            <w14:solidFill>
              <w14:schemeClr w14:val="tx1"/>
            </w14:solidFill>
          </w14:textFill>
        </w:rPr>
        <w:id w:val="1243295833"/>
        <w:docPartObj>
          <w:docPartGallery w:val="Table of Contents"/>
          <w:docPartUnique/>
        </w:docPartObj>
      </w:sdtPr>
      <w:sdtEndPr>
        <w:rPr>
          <w:rFonts w:hint="default" w:ascii="宋体" w:hAnsi="宋体" w:eastAsia="宋体" w:cs="Times New Roman"/>
          <w:b w:val="0"/>
          <w:bCs w:val="0"/>
          <w:color w:val="000000" w:themeColor="text1"/>
          <w:sz w:val="21"/>
          <w:szCs w:val="21"/>
          <w:highlight w:val="none"/>
          <w:lang w:val="zh-CN"/>
          <w14:textFill>
            <w14:solidFill>
              <w14:schemeClr w14:val="tx1"/>
            </w14:solidFill>
          </w14:textFill>
        </w:rPr>
      </w:sdtEndPr>
      <w:sdtContent>
        <w:p>
          <w:pPr>
            <w:pStyle w:val="60"/>
            <w:spacing w:before="0" w:line="240" w:lineRule="auto"/>
            <w:jc w:val="center"/>
            <w:rPr>
              <w:rFonts w:ascii="宋体" w:hAnsi="宋体" w:eastAsia="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lang w:val="zh-CN"/>
              <w14:textFill>
                <w14:solidFill>
                  <w14:schemeClr w14:val="tx1"/>
                </w14:solidFill>
              </w14:textFill>
            </w:rPr>
            <w:t>目录</w:t>
          </w:r>
        </w:p>
        <w:p>
          <w:pPr>
            <w:pStyle w:val="21"/>
            <w:tabs>
              <w:tab w:val="right" w:leader="dot" w:pos="9071"/>
            </w:tabs>
            <w:rPr>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fldChar w:fldCharType="begin"/>
          </w:r>
          <w:r>
            <w:rPr>
              <w:rFonts w:ascii="宋体" w:hAnsi="宋体"/>
              <w:color w:val="000000" w:themeColor="text1"/>
              <w:highlight w:val="none"/>
              <w14:textFill>
                <w14:solidFill>
                  <w14:schemeClr w14:val="tx1"/>
                </w14:solidFill>
              </w14:textFill>
            </w:rPr>
            <w:instrText xml:space="preserve"> TOC \o "1-3" \h \z \u </w:instrText>
          </w:r>
          <w:r>
            <w:rPr>
              <w:rFonts w:ascii="宋体" w:hAnsi="宋体"/>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"_Toc31714" </w:instrText>
          </w:r>
          <w:r>
            <w:rPr>
              <w:color w:val="000000" w:themeColor="text1"/>
              <w:highlight w:val="none"/>
              <w14:textFill>
                <w14:solidFill>
                  <w14:schemeClr w14:val="tx1"/>
                </w14:solidFill>
              </w14:textFill>
            </w:rPr>
            <w:fldChar w:fldCharType="separate"/>
          </w:r>
          <w:r>
            <w:rPr>
              <w:rFonts w:hint="eastAsia" w:ascii="宋体" w:hAnsi="宋体"/>
              <w:color w:val="000000" w:themeColor="text1"/>
              <w:highlight w:val="none"/>
              <w14:textFill>
                <w14:solidFill>
                  <w14:schemeClr w14:val="tx1"/>
                </w14:solidFill>
              </w14:textFill>
            </w:rPr>
            <w:t>第一章比选公告</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_Toc31714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6</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pPr>
            <w:pStyle w:val="21"/>
            <w:tabs>
              <w:tab w:val="right" w:leader="dot" w:pos="9071"/>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"_Toc4114" </w:instrText>
          </w:r>
          <w:r>
            <w:rPr>
              <w:color w:val="000000" w:themeColor="text1"/>
              <w:highlight w:val="none"/>
              <w14:textFill>
                <w14:solidFill>
                  <w14:schemeClr w14:val="tx1"/>
                </w14:solidFill>
              </w14:textFill>
            </w:rPr>
            <w:fldChar w:fldCharType="separate"/>
          </w:r>
          <w:r>
            <w:rPr>
              <w:rFonts w:hint="eastAsia" w:ascii="宋体" w:hAnsi="宋体"/>
              <w:color w:val="000000" w:themeColor="text1"/>
              <w:highlight w:val="none"/>
              <w14:textFill>
                <w14:solidFill>
                  <w14:schemeClr w14:val="tx1"/>
                </w14:solidFill>
              </w14:textFill>
            </w:rPr>
            <w:t>第二章比选申请须知</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_Toc4114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8</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pPr>
            <w:pStyle w:val="21"/>
            <w:tabs>
              <w:tab w:val="right" w:leader="dot" w:pos="9071"/>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"_Toc10158" </w:instrText>
          </w:r>
          <w:r>
            <w:rPr>
              <w:color w:val="000000" w:themeColor="text1"/>
              <w:highlight w:val="none"/>
              <w14:textFill>
                <w14:solidFill>
                  <w14:schemeClr w14:val="tx1"/>
                </w14:solidFill>
              </w14:textFill>
            </w:rPr>
            <w:fldChar w:fldCharType="separate"/>
          </w:r>
          <w:r>
            <w:rPr>
              <w:rFonts w:hint="eastAsia" w:ascii="宋体" w:hAnsi="宋体"/>
              <w:color w:val="000000" w:themeColor="text1"/>
              <w:highlight w:val="none"/>
              <w14:textFill>
                <w14:solidFill>
                  <w14:schemeClr w14:val="tx1"/>
                </w14:solidFill>
              </w14:textFill>
            </w:rPr>
            <w:t>第三章合同条款及格式</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_Toc10158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22</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pPr>
            <w:pStyle w:val="21"/>
            <w:tabs>
              <w:tab w:val="right" w:leader="dot" w:pos="9071"/>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"_Toc26465" </w:instrText>
          </w:r>
          <w:r>
            <w:rPr>
              <w:color w:val="000000" w:themeColor="text1"/>
              <w:highlight w:val="none"/>
              <w14:textFill>
                <w14:solidFill>
                  <w14:schemeClr w14:val="tx1"/>
                </w14:solidFill>
              </w14:textFill>
            </w:rPr>
            <w:fldChar w:fldCharType="separate"/>
          </w:r>
          <w:r>
            <w:rPr>
              <w:rFonts w:hint="eastAsia" w:ascii="宋体" w:hAnsi="宋体"/>
              <w:color w:val="000000" w:themeColor="text1"/>
              <w:highlight w:val="none"/>
              <w14:textFill>
                <w14:solidFill>
                  <w14:schemeClr w14:val="tx1"/>
                </w14:solidFill>
              </w14:textFill>
            </w:rPr>
            <w:t>第四章比选申请文件格式</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_Toc26465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36</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pPr>
            <w:pStyle w:val="21"/>
            <w:tabs>
              <w:tab w:val="right" w:leader="dot" w:pos="9071"/>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"_Toc5856" </w:instrText>
          </w:r>
          <w:r>
            <w:rPr>
              <w:color w:val="000000" w:themeColor="text1"/>
              <w:highlight w:val="none"/>
              <w14:textFill>
                <w14:solidFill>
                  <w14:schemeClr w14:val="tx1"/>
                </w14:solidFill>
              </w14:textFill>
            </w:rPr>
            <w:fldChar w:fldCharType="separate"/>
          </w:r>
          <w:r>
            <w:rPr>
              <w:rFonts w:hint="eastAsia" w:ascii="宋体" w:hAnsi="宋体"/>
              <w:color w:val="000000" w:themeColor="text1"/>
              <w:highlight w:val="none"/>
              <w14:textFill>
                <w14:solidFill>
                  <w14:schemeClr w14:val="tx1"/>
                </w14:solidFill>
              </w14:textFill>
            </w:rPr>
            <w:t>第</w:t>
          </w:r>
          <w:r>
            <w:rPr>
              <w:rFonts w:hint="eastAsia" w:hAnsi="宋体"/>
              <w:color w:val="000000" w:themeColor="text1"/>
              <w:highlight w:val="none"/>
              <w14:textFill>
                <w14:solidFill>
                  <w14:schemeClr w14:val="tx1"/>
                </w14:solidFill>
              </w14:textFill>
            </w:rPr>
            <w:t>六</w:t>
          </w:r>
          <w:r>
            <w:rPr>
              <w:rFonts w:hint="eastAsia" w:ascii="宋体" w:hAnsi="宋体"/>
              <w:color w:val="000000" w:themeColor="text1"/>
              <w:highlight w:val="none"/>
              <w14:textFill>
                <w14:solidFill>
                  <w14:schemeClr w14:val="tx1"/>
                </w14:solidFill>
              </w14:textFill>
            </w:rPr>
            <w:t>章评分办法</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_Toc5856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56</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pPr>
            <w:pStyle w:val="21"/>
            <w:tabs>
              <w:tab w:val="right" w:leader="dot" w:pos="9071"/>
            </w:tabs>
            <w:rPr>
              <w:color w:val="000000" w:themeColor="text1"/>
              <w:highlight w:val="none"/>
              <w14:textFill>
                <w14:solidFill>
                  <w14:schemeClr w14:val="tx1"/>
                </w14:solidFill>
              </w14:textFill>
            </w:rPr>
          </w:pPr>
        </w:p>
        <w:p>
          <w:pPr>
            <w:pStyle w:val="26"/>
            <w:tabs>
              <w:tab w:val="right" w:leader="dot" w:pos="9061"/>
            </w:tabs>
            <w:spacing w:line="240" w:lineRule="auto"/>
            <w:ind w:left="0"/>
            <w:rPr>
              <w:rFonts w:ascii="宋体" w:hAnsi="宋体"/>
              <w:color w:val="000000" w:themeColor="text1"/>
              <w:highlight w:val="none"/>
              <w14:textFill>
                <w14:solidFill>
                  <w14:schemeClr w14:val="tx1"/>
                </w14:solidFill>
              </w14:textFill>
            </w:rPr>
          </w:pPr>
          <w:r>
            <w:rPr>
              <w:rFonts w:ascii="宋体" w:hAnsi="宋体"/>
              <w:bCs/>
              <w:color w:val="000000" w:themeColor="text1"/>
              <w:highlight w:val="none"/>
              <w:lang w:val="zh-CN"/>
              <w14:textFill>
                <w14:solidFill>
                  <w14:schemeClr w14:val="tx1"/>
                </w14:solidFill>
              </w14:textFill>
            </w:rPr>
            <w:fldChar w:fldCharType="end"/>
          </w:r>
        </w:p>
      </w:sdtContent>
    </w:sdt>
    <w:p>
      <w:pPr>
        <w:ind w:left="0" w:firstLine="0"/>
        <w:rPr>
          <w:rStyle w:val="53"/>
          <w:rFonts w:ascii="宋体" w:hAnsi="宋体" w:eastAsia="宋体"/>
          <w:color w:val="000000" w:themeColor="text1"/>
          <w:highlight w:val="none"/>
          <w14:textFill>
            <w14:solidFill>
              <w14:schemeClr w14:val="tx1"/>
            </w14:solidFill>
          </w14:textFill>
        </w:rPr>
      </w:pPr>
      <w:bookmarkStart w:id="0" w:name="_Toc5910"/>
      <w:bookmarkStart w:id="1" w:name="_Toc26192"/>
      <w:bookmarkStart w:id="2" w:name="_Toc14762"/>
      <w:bookmarkStart w:id="3" w:name="_Toc1363"/>
      <w:bookmarkStart w:id="4" w:name="_Toc375039061"/>
      <w:bookmarkStart w:id="5" w:name="_Toc237"/>
      <w:bookmarkStart w:id="6" w:name="_Toc17906"/>
      <w:bookmarkStart w:id="7" w:name="_Toc25355"/>
      <w:bookmarkStart w:id="8" w:name="_Toc1227"/>
      <w:bookmarkStart w:id="9" w:name="_Toc30647"/>
      <w:bookmarkStart w:id="10" w:name="_Toc26620"/>
      <w:bookmarkStart w:id="11" w:name="_Toc481"/>
      <w:bookmarkStart w:id="12" w:name="_Toc3400"/>
      <w:bookmarkStart w:id="13" w:name="_Toc23476"/>
      <w:bookmarkStart w:id="14" w:name="_Toc23367"/>
      <w:bookmarkStart w:id="15" w:name="_Toc492478714"/>
      <w:bookmarkStart w:id="16" w:name="_Toc26939"/>
      <w:bookmarkStart w:id="17" w:name="_Toc3658"/>
      <w:bookmarkStart w:id="18" w:name="_Toc15211"/>
    </w:p>
    <w:p>
      <w:pPr>
        <w:ind w:left="0" w:firstLine="0"/>
        <w:jc w:val="left"/>
        <w:rPr>
          <w:rStyle w:val="53"/>
          <w:rFonts w:ascii="宋体" w:hAnsi="宋体" w:eastAsia="宋体"/>
          <w:color w:val="000000" w:themeColor="text1"/>
          <w:highlight w:val="none"/>
          <w14:textFill>
            <w14:solidFill>
              <w14:schemeClr w14:val="tx1"/>
            </w14:solidFill>
          </w14:textFill>
        </w:rPr>
        <w:sectPr>
          <w:footerReference r:id="rId7" w:type="default"/>
          <w:pgSz w:w="11905" w:h="16838"/>
          <w:pgMar w:top="1417" w:right="1417" w:bottom="1417" w:left="1417" w:header="454" w:footer="567" w:gutter="0"/>
          <w:cols w:space="720" w:num="1"/>
          <w:docGrid w:linePitch="312" w:charSpace="0"/>
        </w:sectPr>
      </w:pPr>
    </w:p>
    <w:p>
      <w:pPr>
        <w:pStyle w:val="15"/>
        <w:pageBreakBefore/>
        <w:ind w:right="-57"/>
        <w:jc w:val="center"/>
        <w:outlineLvl w:val="0"/>
        <w:rPr>
          <w:rStyle w:val="53"/>
          <w:rFonts w:ascii="宋体" w:hAnsi="宋体" w:eastAsia="宋体"/>
          <w:color w:val="000000" w:themeColor="text1"/>
          <w:highlight w:val="none"/>
          <w14:textFill>
            <w14:solidFill>
              <w14:schemeClr w14:val="tx1"/>
            </w14:solidFill>
          </w14:textFill>
        </w:rPr>
      </w:pPr>
      <w:bookmarkStart w:id="19" w:name="_Toc31714"/>
      <w:r>
        <w:rPr>
          <w:rStyle w:val="53"/>
          <w:rFonts w:hint="eastAsia" w:ascii="宋体" w:hAnsi="宋体" w:eastAsia="宋体"/>
          <w:color w:val="000000" w:themeColor="text1"/>
          <w:highlight w:val="none"/>
          <w14:textFill>
            <w14:solidFill>
              <w14:schemeClr w14:val="tx1"/>
            </w14:solidFill>
          </w14:textFill>
        </w:rPr>
        <w:t>第一章比选公告</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pPr>
        <w:spacing w:before="0" w:after="0" w:afterAutospacing="0"/>
        <w:ind w:right="-57" w:firstLine="0"/>
        <w:jc w:val="center"/>
        <w:rPr>
          <w:rFonts w:ascii="宋体" w:hAnsi="宋体"/>
          <w:b/>
          <w:color w:val="000000" w:themeColor="text1"/>
          <w:sz w:val="28"/>
          <w:szCs w:val="28"/>
          <w:highlight w:val="none"/>
          <w14:textFill>
            <w14:solidFill>
              <w14:schemeClr w14:val="tx1"/>
            </w14:solidFill>
          </w14:textFill>
        </w:rPr>
      </w:pPr>
      <w:r>
        <w:rPr>
          <w:rFonts w:hint="eastAsia" w:ascii="宋体" w:hAnsi="宋体"/>
          <w:b/>
          <w:color w:val="000000" w:themeColor="text1"/>
          <w:sz w:val="28"/>
          <w:szCs w:val="28"/>
          <w:highlight w:val="none"/>
          <w:lang w:val="zh-CN"/>
          <w14:textFill>
            <w14:solidFill>
              <w14:schemeClr w14:val="tx1"/>
            </w14:solidFill>
          </w14:textFill>
        </w:rPr>
        <w:t>南宁市白沙半岛片区城中村改造项目安置住房小区4号地块配套基础设施-纵一路设计</w:t>
      </w:r>
      <w:r>
        <w:rPr>
          <w:rFonts w:hint="eastAsia" w:ascii="宋体" w:hAnsi="宋体"/>
          <w:b/>
          <w:color w:val="000000" w:themeColor="text1"/>
          <w:sz w:val="28"/>
          <w:szCs w:val="28"/>
          <w:highlight w:val="none"/>
          <w14:textFill>
            <w14:solidFill>
              <w14:schemeClr w14:val="tx1"/>
            </w14:solidFill>
          </w14:textFill>
        </w:rPr>
        <w:t>比选公告</w:t>
      </w:r>
    </w:p>
    <w:p>
      <w:pPr>
        <w:spacing w:before="0" w:after="0" w:afterAutospacing="0"/>
        <w:ind w:left="0" w:right="0" w:firstLine="422" w:firstLineChars="200"/>
        <w:rPr>
          <w:rFonts w:ascii="宋体" w:hAnsi="宋体"/>
          <w:b/>
          <w:color w:val="000000" w:themeColor="text1"/>
          <w:highlight w:val="none"/>
          <w14:textFill>
            <w14:solidFill>
              <w14:schemeClr w14:val="tx1"/>
            </w14:solidFill>
          </w14:textFill>
        </w:rPr>
      </w:pPr>
      <w:bookmarkStart w:id="20" w:name="OLE_LINK4"/>
      <w:bookmarkEnd w:id="20"/>
      <w:r>
        <w:rPr>
          <w:rFonts w:hint="eastAsia" w:ascii="宋体" w:hAnsi="宋体"/>
          <w:b/>
          <w:color w:val="000000" w:themeColor="text1"/>
          <w:highlight w:val="none"/>
          <w14:textFill>
            <w14:solidFill>
              <w14:schemeClr w14:val="tx1"/>
            </w14:solidFill>
          </w14:textFill>
        </w:rPr>
        <w:t>1.比选条件</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本比选项目</w:t>
      </w:r>
      <w:r>
        <w:rPr>
          <w:rFonts w:hint="eastAsia" w:ascii="宋体" w:hAnsi="宋体"/>
          <w:color w:val="000000" w:themeColor="text1"/>
          <w:highlight w:val="none"/>
          <w:u w:val="single"/>
          <w:lang w:eastAsia="zh-CN"/>
          <w14:textFill>
            <w14:solidFill>
              <w14:schemeClr w14:val="tx1"/>
            </w14:solidFill>
          </w14:textFill>
        </w:rPr>
        <w:t>南宁市白沙半岛片区城中村改造项目安置住房小区4号地块配套基础设施-纵一路设计</w:t>
      </w:r>
      <w:r>
        <w:rPr>
          <w:rFonts w:hint="eastAsia" w:ascii="宋体" w:hAnsi="宋体"/>
          <w:color w:val="000000" w:themeColor="text1"/>
          <w:highlight w:val="none"/>
          <w14:textFill>
            <w14:solidFill>
              <w14:schemeClr w14:val="tx1"/>
            </w14:solidFill>
          </w14:textFill>
        </w:rPr>
        <w:t>比选人为</w:t>
      </w:r>
      <w:r>
        <w:rPr>
          <w:rFonts w:hint="eastAsia" w:ascii="宋体" w:hAnsi="宋体"/>
          <w:color w:val="000000" w:themeColor="text1"/>
          <w:highlight w:val="none"/>
          <w:u w:val="single"/>
          <w:lang w:eastAsia="zh-CN"/>
          <w14:textFill>
            <w14:solidFill>
              <w14:schemeClr w14:val="tx1"/>
            </w14:solidFill>
          </w14:textFill>
        </w:rPr>
        <w:t>南宁兴邕城市更新有限责任公司</w:t>
      </w:r>
      <w:r>
        <w:rPr>
          <w:rFonts w:hint="eastAsia" w:ascii="宋体" w:hAnsi="宋体"/>
          <w:color w:val="000000" w:themeColor="text1"/>
          <w:highlight w:val="none"/>
          <w14:textFill>
            <w14:solidFill>
              <w14:schemeClr w14:val="tx1"/>
            </w14:solidFill>
          </w14:textFill>
        </w:rPr>
        <w:t>，比选项目资金来源为企业自有资金。</w:t>
      </w:r>
    </w:p>
    <w:p>
      <w:pPr>
        <w:spacing w:before="0" w:after="0" w:afterAutospacing="0"/>
        <w:ind w:left="0" w:right="0" w:firstLine="422" w:firstLineChars="200"/>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2.项目概况与比选范围</w:t>
      </w:r>
    </w:p>
    <w:p>
      <w:pPr>
        <w:spacing w:before="0" w:after="0" w:afterAutospacing="0"/>
        <w:ind w:left="0" w:right="0" w:firstLine="420" w:firstLineChars="200"/>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项目名称：</w:t>
      </w:r>
      <w:r>
        <w:rPr>
          <w:rFonts w:hint="eastAsia" w:ascii="宋体" w:hAnsi="宋体"/>
          <w:color w:val="000000" w:themeColor="text1"/>
          <w:highlight w:val="none"/>
          <w:u w:val="single"/>
          <w:lang w:eastAsia="zh-CN"/>
          <w14:textFill>
            <w14:solidFill>
              <w14:schemeClr w14:val="tx1"/>
            </w14:solidFill>
          </w14:textFill>
        </w:rPr>
        <w:t>南宁市白沙半岛片区城中村改造项目安置住房小区4号地块配套基础设施-纵一路设计</w:t>
      </w:r>
      <w:r>
        <w:rPr>
          <w:rFonts w:hint="eastAsia" w:ascii="宋体" w:hAnsi="宋体"/>
          <w:color w:val="000000" w:themeColor="text1"/>
          <w:highlight w:val="none"/>
          <w:u w:val="single"/>
          <w14:textFill>
            <w14:solidFill>
              <w14:schemeClr w14:val="tx1"/>
            </w14:solidFill>
          </w14:textFill>
        </w:rPr>
        <w:t>。</w:t>
      </w:r>
    </w:p>
    <w:p>
      <w:pPr>
        <w:spacing w:before="0" w:after="0" w:afterAutospacing="0"/>
        <w:ind w:left="0" w:right="0" w:firstLine="420" w:firstLineChars="200"/>
        <w:rPr>
          <w:rFonts w:hint="default" w:ascii="宋体" w:hAnsi="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lang w:val="zh-CN"/>
          <w14:textFill>
            <w14:solidFill>
              <w14:schemeClr w14:val="tx1"/>
            </w14:solidFill>
          </w14:textFill>
        </w:rPr>
        <w:t>项目</w:t>
      </w:r>
      <w:r>
        <w:rPr>
          <w:rFonts w:hint="eastAsia" w:ascii="宋体" w:hAnsi="宋体"/>
          <w:color w:val="000000" w:themeColor="text1"/>
          <w:highlight w:val="none"/>
          <w:lang w:val="en-US" w:eastAsia="zh-CN"/>
          <w14:textFill>
            <w14:solidFill>
              <w14:schemeClr w14:val="tx1"/>
            </w14:solidFill>
          </w14:textFill>
        </w:rPr>
        <w:t>概括：</w:t>
      </w:r>
      <w:r>
        <w:rPr>
          <w:rFonts w:hint="eastAsia" w:ascii="宋体" w:hAnsi="宋体"/>
          <w:color w:val="000000" w:themeColor="text1"/>
          <w:highlight w:val="none"/>
          <w:u w:val="single"/>
          <w:lang w:eastAsia="zh-CN"/>
          <w14:textFill>
            <w14:solidFill>
              <w14:schemeClr w14:val="tx1"/>
            </w14:solidFill>
          </w14:textFill>
        </w:rPr>
        <w:t>南宁市白沙半岛片区城中村改造项目安置住房小区4号地块配套基础设施-纵一路，</w:t>
      </w:r>
      <w:r>
        <w:rPr>
          <w:rFonts w:hint="eastAsia" w:ascii="宋体" w:hAnsi="宋体"/>
          <w:color w:val="000000" w:themeColor="text1"/>
          <w:highlight w:val="none"/>
          <w:u w:val="single"/>
          <w:lang w:val="en-US" w:eastAsia="zh-CN"/>
          <w14:textFill>
            <w14:solidFill>
              <w14:schemeClr w14:val="tx1"/>
            </w14:solidFill>
          </w14:textFill>
        </w:rPr>
        <w:t>线路长度415m，红线宽度30m，设计范围包含道路工程、排水（含污水）工程、交通工程、照明工程、绿化工程、电力管沟工程；</w:t>
      </w:r>
    </w:p>
    <w:p>
      <w:pPr>
        <w:spacing w:before="0" w:after="0" w:afterAutospacing="0"/>
        <w:ind w:left="0" w:right="0" w:firstLine="420" w:firstLineChars="2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比选内容概括：</w:t>
      </w:r>
      <w:r>
        <w:rPr>
          <w:rFonts w:hint="eastAsia" w:ascii="宋体" w:hAnsi="宋体"/>
          <w:color w:val="000000" w:themeColor="text1"/>
          <w:highlight w:val="none"/>
          <w:lang w:eastAsia="zh-CN"/>
          <w14:textFill>
            <w14:solidFill>
              <w14:schemeClr w14:val="tx1"/>
            </w14:solidFill>
          </w14:textFill>
        </w:rPr>
        <w:t>南宁市白沙半岛片区城中村改造项目安置住房小区4号地块配套基础设施-纵一路设计</w:t>
      </w:r>
      <w:r>
        <w:rPr>
          <w:rFonts w:hint="eastAsia" w:ascii="宋体" w:hAnsi="宋体"/>
          <w:color w:val="000000" w:themeColor="text1"/>
          <w:highlight w:val="none"/>
          <w14:textFill>
            <w14:solidFill>
              <w14:schemeClr w14:val="tx1"/>
            </w14:solidFill>
          </w14:textFill>
        </w:rPr>
        <w:t>，设计服务包含方案设计</w:t>
      </w:r>
      <w:r>
        <w:rPr>
          <w:rFonts w:hint="eastAsia" w:ascii="宋体" w:hAnsi="宋体"/>
          <w:color w:val="000000" w:themeColor="text1"/>
          <w:highlight w:val="none"/>
          <w:lang w:eastAsia="zh-CN"/>
          <w14:textFill>
            <w14:solidFill>
              <w14:schemeClr w14:val="tx1"/>
            </w14:solidFill>
          </w14:textFill>
        </w:rPr>
        <w:t>、</w:t>
      </w:r>
      <w:r>
        <w:rPr>
          <w:rFonts w:hint="eastAsia" w:ascii="宋体" w:hAnsi="宋体"/>
          <w:color w:val="000000" w:themeColor="text1"/>
          <w:highlight w:val="none"/>
          <w:lang w:val="en-US" w:eastAsia="zh-CN"/>
          <w14:textFill>
            <w14:solidFill>
              <w14:schemeClr w14:val="tx1"/>
            </w14:solidFill>
          </w14:textFill>
        </w:rPr>
        <w:t>初步设计、施工图设计、</w:t>
      </w:r>
      <w:r>
        <w:rPr>
          <w:rFonts w:hint="eastAsia" w:ascii="宋体" w:hAnsi="宋体"/>
          <w:color w:val="000000" w:themeColor="text1"/>
          <w:highlight w:val="none"/>
          <w14:textFill>
            <w14:solidFill>
              <w14:schemeClr w14:val="tx1"/>
            </w14:solidFill>
          </w14:textFill>
        </w:rPr>
        <w:t>工程概算</w:t>
      </w:r>
      <w:r>
        <w:rPr>
          <w:rFonts w:hint="eastAsia" w:ascii="宋体" w:hAnsi="宋体"/>
          <w:color w:val="000000" w:themeColor="text1"/>
          <w:highlight w:val="none"/>
          <w:lang w:eastAsia="zh-CN"/>
          <w14:textFill>
            <w14:solidFill>
              <w14:schemeClr w14:val="tx1"/>
            </w14:solidFill>
          </w14:textFill>
        </w:rPr>
        <w:t>、</w:t>
      </w:r>
      <w:r>
        <w:rPr>
          <w:rFonts w:hint="eastAsia" w:ascii="宋体" w:hAnsi="宋体"/>
          <w:color w:val="000000" w:themeColor="text1"/>
          <w:highlight w:val="none"/>
          <w:lang w:val="en-US" w:eastAsia="zh-CN"/>
          <w14:textFill>
            <w14:solidFill>
              <w14:schemeClr w14:val="tx1"/>
            </w14:solidFill>
          </w14:textFill>
        </w:rPr>
        <w:t>施工图预算</w:t>
      </w:r>
      <w:r>
        <w:rPr>
          <w:rFonts w:hint="eastAsia" w:ascii="宋体" w:hAnsi="宋体"/>
          <w:color w:val="000000" w:themeColor="text1"/>
          <w:highlight w:val="none"/>
          <w14:textFill>
            <w14:solidFill>
              <w14:schemeClr w14:val="tx1"/>
            </w14:solidFill>
          </w14:textFill>
        </w:rPr>
        <w:t>等设计成果</w:t>
      </w:r>
      <w:r>
        <w:rPr>
          <w:rFonts w:hint="eastAsia" w:ascii="宋体" w:hAnsi="宋体"/>
          <w:color w:val="000000" w:themeColor="text1"/>
          <w:highlight w:val="none"/>
          <w:lang w:eastAsia="zh-CN"/>
          <w14:textFill>
            <w14:solidFill>
              <w14:schemeClr w14:val="tx1"/>
            </w14:solidFill>
          </w14:textFill>
        </w:rPr>
        <w:t>、</w:t>
      </w:r>
      <w:r>
        <w:rPr>
          <w:rFonts w:hint="eastAsia" w:ascii="宋体" w:hAnsi="宋体"/>
          <w:color w:val="000000" w:themeColor="text1"/>
          <w:highlight w:val="none"/>
          <w:lang w:val="en-US" w:eastAsia="zh-CN"/>
          <w14:textFill>
            <w14:solidFill>
              <w14:schemeClr w14:val="tx1"/>
            </w14:solidFill>
          </w14:textFill>
        </w:rPr>
        <w:t>规划设计审查</w:t>
      </w:r>
      <w:r>
        <w:rPr>
          <w:rFonts w:hint="eastAsia" w:ascii="宋体" w:hAnsi="宋体"/>
          <w:color w:val="000000" w:themeColor="text1"/>
          <w:highlight w:val="none"/>
          <w14:textFill>
            <w14:solidFill>
              <w14:schemeClr w14:val="tx1"/>
            </w14:solidFill>
          </w14:textFill>
        </w:rPr>
        <w:t>、施工阶段配合。</w:t>
      </w:r>
    </w:p>
    <w:p>
      <w:pPr>
        <w:spacing w:before="0" w:after="0" w:afterAutospacing="0"/>
        <w:ind w:left="0" w:right="0" w:firstLine="420" w:firstLineChars="2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上限控制价（含税）：</w:t>
      </w:r>
      <w:r>
        <w:rPr>
          <w:rFonts w:hint="eastAsia" w:ascii="宋体" w:hAnsi="宋体"/>
          <w:color w:val="000000" w:themeColor="text1"/>
          <w:highlight w:val="none"/>
          <w:lang w:val="en-US" w:eastAsia="zh-CN"/>
          <w14:textFill>
            <w14:solidFill>
              <w14:schemeClr w14:val="tx1"/>
            </w14:solidFill>
          </w14:textFill>
        </w:rPr>
        <w:t xml:space="preserve">611,600.00 </w:t>
      </w:r>
      <w:r>
        <w:rPr>
          <w:rFonts w:hint="eastAsia" w:ascii="宋体" w:hAnsi="宋体"/>
          <w:color w:val="000000" w:themeColor="text1"/>
          <w:highlight w:val="none"/>
          <w14:textFill>
            <w14:solidFill>
              <w14:schemeClr w14:val="tx1"/>
            </w14:solidFill>
          </w14:textFill>
        </w:rPr>
        <w:t>元。比选申请报价高于上限控制价（或分项上限控制价）的比选申请文件将按否决比选申请处理。</w:t>
      </w:r>
    </w:p>
    <w:p>
      <w:pPr>
        <w:spacing w:before="0" w:after="0" w:afterAutospacing="0"/>
        <w:ind w:left="0" w:right="0" w:firstLine="420" w:firstLineChars="200"/>
        <w:rPr>
          <w:rFonts w:hint="eastAsia" w:ascii="宋体" w:hAnsi="宋体"/>
          <w:color w:val="000000" w:themeColor="text1"/>
          <w:highlight w:val="none"/>
          <w:lang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合同服务期</w:t>
      </w:r>
      <w:r>
        <w:rPr>
          <w:rFonts w:hint="eastAsia" w:ascii="宋体" w:hAnsi="宋体" w:eastAsia="宋体"/>
          <w:color w:val="000000" w:themeColor="text1"/>
          <w:highlight w:val="none"/>
          <w:lang w:val="en-US" w:eastAsia="zh-CN"/>
          <w14:textFill>
            <w14:solidFill>
              <w14:schemeClr w14:val="tx1"/>
            </w14:solidFill>
          </w14:textFill>
        </w:rPr>
        <w:t>：</w:t>
      </w:r>
      <w:r>
        <w:rPr>
          <w:rFonts w:hint="eastAsia" w:ascii="宋体" w:hAnsi="宋体"/>
          <w:color w:val="000000" w:themeColor="text1"/>
          <w:highlight w:val="none"/>
          <w:lang w:eastAsia="zh-CN"/>
          <w14:textFill>
            <w14:solidFill>
              <w14:schemeClr w14:val="tx1"/>
            </w14:solidFill>
          </w14:textFill>
        </w:rPr>
        <w:t>自比选人与中选人签订的合同生效之日起至项目竣工验收。</w:t>
      </w:r>
    </w:p>
    <w:p>
      <w:pPr>
        <w:spacing w:before="0" w:after="0" w:afterAutospacing="0"/>
        <w:ind w:left="0" w:right="0" w:firstLine="420" w:firstLineChars="200"/>
        <w:rPr>
          <w:rFonts w:hint="eastAsia" w:ascii="宋体" w:hAnsi="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设计周期：①设计合同载明的计划开始设计之日起20日历天内完成方案</w:t>
      </w:r>
      <w:r>
        <w:rPr>
          <w:rFonts w:hint="default" w:ascii="宋体" w:hAnsi="宋体"/>
          <w:color w:val="000000" w:themeColor="text1"/>
          <w:highlight w:val="none"/>
          <w:lang w:val="en-US" w:eastAsia="zh-CN"/>
          <w14:textFill>
            <w14:solidFill>
              <w14:schemeClr w14:val="tx1"/>
            </w14:solidFill>
          </w14:textFill>
        </w:rPr>
        <w:t xml:space="preserve">设计； </w:t>
      </w:r>
    </w:p>
    <w:p>
      <w:pPr>
        <w:spacing w:before="0" w:after="0" w:afterAutospacing="0"/>
        <w:ind w:left="0" w:right="0" w:firstLine="420" w:firstLineChars="200"/>
        <w:rPr>
          <w:rFonts w:hint="eastAsia" w:ascii="宋体" w:hAnsi="宋体"/>
          <w:color w:val="000000" w:themeColor="text1"/>
          <w:highlight w:val="none"/>
          <w:lang w:val="en-US" w:eastAsia="zh-CN"/>
          <w14:textFill>
            <w14:solidFill>
              <w14:schemeClr w14:val="tx1"/>
            </w14:solidFill>
          </w14:textFill>
        </w:rPr>
      </w:pPr>
      <w:r>
        <w:rPr>
          <w:rFonts w:hint="default" w:ascii="宋体" w:hAnsi="宋体"/>
          <w:color w:val="000000" w:themeColor="text1"/>
          <w:highlight w:val="none"/>
          <w:lang w:val="en-US" w:eastAsia="zh-CN"/>
          <w14:textFill>
            <w14:solidFill>
              <w14:schemeClr w14:val="tx1"/>
            </w14:solidFill>
          </w14:textFill>
        </w:rPr>
        <w:t>②设计方案经相关部门批准后</w:t>
      </w:r>
      <w:r>
        <w:rPr>
          <w:rFonts w:hint="eastAsia" w:ascii="宋体" w:hAnsi="宋体"/>
          <w:color w:val="000000" w:themeColor="text1"/>
          <w:highlight w:val="none"/>
          <w:lang w:val="en-US" w:eastAsia="zh-CN"/>
          <w14:textFill>
            <w14:solidFill>
              <w14:schemeClr w14:val="tx1"/>
            </w14:solidFill>
          </w14:textFill>
        </w:rPr>
        <w:t>10</w:t>
      </w:r>
      <w:r>
        <w:rPr>
          <w:rFonts w:hint="default" w:ascii="宋体" w:hAnsi="宋体"/>
          <w:color w:val="000000" w:themeColor="text1"/>
          <w:highlight w:val="none"/>
          <w:lang w:val="en-US" w:eastAsia="zh-CN"/>
          <w14:textFill>
            <w14:solidFill>
              <w14:schemeClr w14:val="tx1"/>
            </w14:solidFill>
          </w14:textFill>
        </w:rPr>
        <w:t>日历天内完成初步设计；</w:t>
      </w:r>
    </w:p>
    <w:p>
      <w:pPr>
        <w:spacing w:before="0" w:after="0" w:afterAutospacing="0"/>
        <w:ind w:left="0" w:right="0" w:firstLine="420" w:firstLineChars="200"/>
        <w:rPr>
          <w:rFonts w:hint="eastAsia" w:ascii="宋体" w:hAnsi="宋体"/>
          <w:color w:val="000000" w:themeColor="text1"/>
          <w:highlight w:val="none"/>
          <w:lang w:val="en-US" w:eastAsia="zh-CN"/>
          <w14:textFill>
            <w14:solidFill>
              <w14:schemeClr w14:val="tx1"/>
            </w14:solidFill>
          </w14:textFill>
        </w:rPr>
      </w:pPr>
      <w:r>
        <w:rPr>
          <w:rFonts w:hint="default" w:ascii="宋体" w:hAnsi="宋体"/>
          <w:color w:val="000000" w:themeColor="text1"/>
          <w:highlight w:val="none"/>
          <w:lang w:val="en-US" w:eastAsia="zh-CN"/>
          <w14:textFill>
            <w14:solidFill>
              <w14:schemeClr w14:val="tx1"/>
            </w14:solidFill>
          </w14:textFill>
        </w:rPr>
        <w:t>③初步设计审查批准后</w:t>
      </w:r>
      <w:r>
        <w:rPr>
          <w:rFonts w:hint="eastAsia" w:ascii="宋体" w:hAnsi="宋体"/>
          <w:color w:val="000000" w:themeColor="text1"/>
          <w:highlight w:val="none"/>
          <w:lang w:val="en-US" w:eastAsia="zh-CN"/>
          <w14:textFill>
            <w14:solidFill>
              <w14:schemeClr w14:val="tx1"/>
            </w14:solidFill>
          </w14:textFill>
        </w:rPr>
        <w:t>15</w:t>
      </w:r>
      <w:r>
        <w:rPr>
          <w:rFonts w:hint="default" w:ascii="宋体" w:hAnsi="宋体"/>
          <w:color w:val="000000" w:themeColor="text1"/>
          <w:highlight w:val="none"/>
          <w:lang w:val="en-US" w:eastAsia="zh-CN"/>
          <w14:textFill>
            <w14:solidFill>
              <w14:schemeClr w14:val="tx1"/>
            </w14:solidFill>
          </w14:textFill>
        </w:rPr>
        <w:t>日历天内完成所有施工图设计；</w:t>
      </w:r>
    </w:p>
    <w:p>
      <w:pPr>
        <w:spacing w:before="0" w:after="0" w:afterAutospacing="0"/>
        <w:ind w:left="0" w:right="0" w:firstLine="420" w:firstLineChars="200"/>
        <w:rPr>
          <w:rFonts w:hint="eastAsia" w:ascii="宋体" w:hAnsi="宋体"/>
          <w:color w:val="000000" w:themeColor="text1"/>
          <w:highlight w:val="none"/>
          <w:lang w:val="en-US" w:eastAsia="zh-CN"/>
          <w14:textFill>
            <w14:solidFill>
              <w14:schemeClr w14:val="tx1"/>
            </w14:solidFill>
          </w14:textFill>
        </w:rPr>
      </w:pPr>
      <w:r>
        <w:rPr>
          <w:rFonts w:hint="default" w:ascii="宋体" w:hAnsi="宋体"/>
          <w:color w:val="000000" w:themeColor="text1"/>
          <w:highlight w:val="none"/>
          <w:lang w:val="en-US" w:eastAsia="zh-CN"/>
          <w14:textFill>
            <w14:solidFill>
              <w14:schemeClr w14:val="tx1"/>
            </w14:solidFill>
          </w14:textFill>
        </w:rPr>
        <w:t>④施工图设计经审查后</w:t>
      </w:r>
      <w:r>
        <w:rPr>
          <w:rFonts w:hint="eastAsia" w:ascii="宋体" w:hAnsi="宋体"/>
          <w:color w:val="000000" w:themeColor="text1"/>
          <w:highlight w:val="none"/>
          <w:lang w:val="en-US" w:eastAsia="zh-CN"/>
          <w14:textFill>
            <w14:solidFill>
              <w14:schemeClr w14:val="tx1"/>
            </w14:solidFill>
          </w14:textFill>
        </w:rPr>
        <w:t>5</w:t>
      </w:r>
      <w:r>
        <w:rPr>
          <w:rFonts w:hint="default" w:ascii="宋体" w:hAnsi="宋体"/>
          <w:color w:val="000000" w:themeColor="text1"/>
          <w:highlight w:val="none"/>
          <w:lang w:val="en-US" w:eastAsia="zh-CN"/>
          <w14:textFill>
            <w14:solidFill>
              <w14:schemeClr w14:val="tx1"/>
            </w14:solidFill>
          </w14:textFill>
        </w:rPr>
        <w:t>日历天内完成补充、修改；</w:t>
      </w:r>
    </w:p>
    <w:p>
      <w:pPr>
        <w:spacing w:before="0" w:after="0" w:afterAutospacing="0"/>
        <w:ind w:left="0" w:right="0" w:firstLine="420" w:firstLineChars="200"/>
        <w:rPr>
          <w:rFonts w:hint="eastAsia" w:ascii="宋体" w:hAnsi="宋体"/>
          <w:color w:val="000000" w:themeColor="text1"/>
          <w:highlight w:val="none"/>
          <w:lang w:val="en-US" w:eastAsia="zh-CN"/>
          <w14:textFill>
            <w14:solidFill>
              <w14:schemeClr w14:val="tx1"/>
            </w14:solidFill>
          </w14:textFill>
        </w:rPr>
      </w:pPr>
      <w:r>
        <w:rPr>
          <w:rFonts w:hint="default" w:ascii="宋体" w:hAnsi="宋体"/>
          <w:color w:val="000000" w:themeColor="text1"/>
          <w:highlight w:val="none"/>
          <w:lang w:val="en-US" w:eastAsia="zh-CN"/>
          <w14:textFill>
            <w14:solidFill>
              <w14:schemeClr w14:val="tx1"/>
            </w14:solidFill>
          </w14:textFill>
        </w:rPr>
        <w:t>⑤施工配合：从工程项目施工阶段开始至工程竣工验收。</w:t>
      </w:r>
    </w:p>
    <w:p>
      <w:pPr>
        <w:spacing w:before="0" w:after="0" w:afterAutospacing="0"/>
        <w:ind w:left="0" w:right="0" w:firstLine="420" w:firstLineChars="200"/>
        <w:rPr>
          <w:rFonts w:hint="default" w:ascii="宋体" w:hAnsi="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lang w:eastAsia="zh-CN"/>
          <w14:textFill>
            <w14:solidFill>
              <w14:schemeClr w14:val="tx1"/>
            </w14:solidFill>
          </w14:textFill>
        </w:rPr>
        <w:t>项目地点：</w:t>
      </w:r>
      <w:r>
        <w:rPr>
          <w:rFonts w:hint="eastAsia" w:ascii="宋体" w:hAnsi="宋体"/>
          <w:color w:val="000000" w:themeColor="text1"/>
          <w:highlight w:val="none"/>
          <w:lang w:val="en-US" w:eastAsia="zh-CN"/>
          <w14:textFill>
            <w14:solidFill>
              <w14:schemeClr w14:val="tx1"/>
            </w14:solidFill>
          </w14:textFill>
        </w:rPr>
        <w:t>南宁市西乡塘区</w:t>
      </w:r>
    </w:p>
    <w:p>
      <w:pPr>
        <w:spacing w:before="0" w:after="0" w:afterAutospacing="0"/>
        <w:ind w:left="0" w:leftChars="0" w:right="0" w:firstLine="0" w:firstLineChars="0"/>
        <w:rPr>
          <w:rFonts w:ascii="宋体" w:hAnsi="宋体"/>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3.比选申请人资格要求</w:t>
      </w:r>
    </w:p>
    <w:p>
      <w:pPr>
        <w:spacing w:before="0" w:after="0" w:afterAutospacing="0"/>
        <w:ind w:left="0" w:right="0" w:firstLine="420" w:firstLineChars="200"/>
        <w:rPr>
          <w:rFonts w:hint="eastAsia" w:ascii="宋体" w:hAnsi="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3.1比选申请人为中华人民共和国境内依法设立的法人或其他组织。</w:t>
      </w:r>
    </w:p>
    <w:p>
      <w:pPr>
        <w:spacing w:before="0" w:after="0" w:afterAutospacing="0"/>
        <w:ind w:left="0" w:right="0" w:firstLine="420" w:firstLineChars="200"/>
        <w:rPr>
          <w:rFonts w:hint="default" w:ascii="宋体" w:hAnsi="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3.2 资质要求：具备工程设计综合</w:t>
      </w:r>
      <w:r>
        <w:rPr>
          <w:rFonts w:hint="default" w:ascii="宋体" w:hAnsi="宋体"/>
          <w:color w:val="000000" w:themeColor="text1"/>
          <w:highlight w:val="none"/>
          <w:lang w:val="en-US" w:eastAsia="zh-CN"/>
          <w14:textFill>
            <w14:solidFill>
              <w14:schemeClr w14:val="tx1"/>
            </w14:solidFill>
          </w14:textFill>
        </w:rPr>
        <w:t>甲级资质或者工程设计市政行业乙级及以上资质</w:t>
      </w:r>
      <w:r>
        <w:rPr>
          <w:rFonts w:hint="eastAsia" w:ascii="宋体" w:hAnsi="宋体"/>
          <w:color w:val="000000" w:themeColor="text1"/>
          <w:highlight w:val="none"/>
          <w:lang w:val="en-US" w:eastAsia="zh-CN"/>
          <w14:textFill>
            <w14:solidFill>
              <w14:schemeClr w14:val="tx1"/>
            </w14:solidFill>
          </w14:textFill>
        </w:rPr>
        <w:t>。</w:t>
      </w:r>
    </w:p>
    <w:p>
      <w:pPr>
        <w:spacing w:before="0" w:after="0" w:afterAutospacing="0"/>
        <w:ind w:left="0" w:right="0" w:firstLine="420" w:firstLineChars="200"/>
        <w:rPr>
          <w:rFonts w:hint="default" w:ascii="宋体" w:hAnsi="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3.3业绩条件：比选申请人自2021年1月1日至比选申请截止时间前，承接过（完工/在建项目）1个及以上40万元（含）以上的市政工程设计项目。</w:t>
      </w:r>
    </w:p>
    <w:p>
      <w:pPr>
        <w:spacing w:before="0" w:after="0" w:afterAutospacing="0"/>
        <w:ind w:left="0" w:right="0" w:firstLine="420" w:firstLineChars="200"/>
        <w:rPr>
          <w:rFonts w:hint="default" w:ascii="宋体" w:hAnsi="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3.4 人员要求：项目负责人的资格要求具有工程相关专业中级职称（含）</w:t>
      </w:r>
      <w:r>
        <w:rPr>
          <w:rFonts w:hint="default" w:ascii="宋体" w:hAnsi="宋体"/>
          <w:color w:val="000000" w:themeColor="text1"/>
          <w:highlight w:val="none"/>
          <w:lang w:val="en-US" w:eastAsia="zh-CN"/>
          <w14:textFill>
            <w14:solidFill>
              <w14:schemeClr w14:val="tx1"/>
            </w14:solidFill>
          </w14:textFill>
        </w:rPr>
        <w:t>以上</w:t>
      </w:r>
      <w:r>
        <w:rPr>
          <w:rFonts w:hint="eastAsia" w:ascii="宋体" w:hAnsi="宋体"/>
          <w:color w:val="000000" w:themeColor="text1"/>
          <w:highlight w:val="none"/>
          <w:lang w:val="en-US" w:eastAsia="zh-CN"/>
          <w14:textFill>
            <w14:solidFill>
              <w14:schemeClr w14:val="tx1"/>
            </w14:solidFill>
          </w14:textFill>
        </w:rPr>
        <w:t>。</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3.5</w:t>
      </w:r>
      <w:r>
        <w:rPr>
          <w:rFonts w:hint="eastAsia" w:ascii="宋体" w:hAnsi="宋体"/>
          <w:color w:val="000000" w:themeColor="text1"/>
          <w:highlight w:val="none"/>
          <w14:textFill>
            <w14:solidFill>
              <w14:schemeClr w14:val="tx1"/>
            </w14:solidFill>
          </w14:textFill>
        </w:rPr>
        <w:t>比选申请人没有处于被行政主管部门或业主取消比选申请资格的处罚期内，且没有处于被责令停业，财产被接管、冻结、破产状态；比选申请截止时间前3年内没有骗取中选、严重违约或重大质量安全责任事故的情况；</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w:t>
      </w:r>
      <w:r>
        <w:rPr>
          <w:rFonts w:hint="eastAsia" w:ascii="宋体" w:hAnsi="宋体"/>
          <w:color w:val="000000" w:themeColor="text1"/>
          <w:highlight w:val="none"/>
          <w:lang w:val="en-US" w:eastAsia="zh-CN"/>
          <w14:textFill>
            <w14:solidFill>
              <w14:schemeClr w14:val="tx1"/>
            </w14:solidFill>
          </w14:textFill>
        </w:rPr>
        <w:t>6</w:t>
      </w:r>
      <w:r>
        <w:rPr>
          <w:rFonts w:hint="eastAsia" w:ascii="宋体" w:hAnsi="宋体"/>
          <w:color w:val="000000" w:themeColor="text1"/>
          <w:highlight w:val="none"/>
          <w14:textFill>
            <w14:solidFill>
              <w14:schemeClr w14:val="tx1"/>
            </w14:solidFill>
          </w14:textFill>
        </w:rPr>
        <w:t>单位负责人为同一人或者存在控股、管理关系的不同单位，不得参加同一标段比选申请或者未划分标段的同一比选项目比选申请。</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w:t>
      </w:r>
      <w:r>
        <w:rPr>
          <w:rFonts w:hint="eastAsia" w:ascii="宋体" w:hAnsi="宋体"/>
          <w:color w:val="000000" w:themeColor="text1"/>
          <w:highlight w:val="none"/>
          <w:lang w:val="en-US" w:eastAsia="zh-CN"/>
          <w14:textFill>
            <w14:solidFill>
              <w14:schemeClr w14:val="tx1"/>
            </w14:solidFill>
          </w14:textFill>
        </w:rPr>
        <w:t>7</w:t>
      </w:r>
      <w:r>
        <w:rPr>
          <w:rFonts w:hint="eastAsia" w:ascii="宋体" w:hAnsi="宋体"/>
          <w:color w:val="000000" w:themeColor="text1"/>
          <w:highlight w:val="none"/>
          <w14:textFill>
            <w14:solidFill>
              <w14:schemeClr w14:val="tx1"/>
            </w14:solidFill>
          </w14:textFill>
        </w:rPr>
        <w:t>本项目不接受联合体比选申请。</w:t>
      </w:r>
    </w:p>
    <w:p>
      <w:pPr>
        <w:spacing w:before="0" w:after="0" w:afterAutospacing="0"/>
        <w:ind w:left="0" w:right="0" w:firstLine="422" w:firstLineChars="200"/>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4.资格审查方式</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本项目对比选申请人的资格审查采用资格后审方式，只有资格审查合格的比选申请人才有可能被授予合同。</w:t>
      </w:r>
    </w:p>
    <w:p>
      <w:pPr>
        <w:spacing w:before="0" w:after="0" w:afterAutospacing="0"/>
        <w:ind w:left="0" w:right="0" w:firstLine="422" w:firstLineChars="200"/>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5.比选文件的获取</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5.1比选文件获取：</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本项目不发放纸质文件，请各比选申请人自行网上下载。下载网址：</w:t>
      </w:r>
      <w:r>
        <w:rPr>
          <w:rFonts w:hint="eastAsia" w:ascii="宋体" w:hAnsi="宋体"/>
          <w:color w:val="000000" w:themeColor="text1"/>
          <w:highlight w:val="none"/>
          <w:lang w:eastAsia="zh-CN"/>
          <w14:textFill>
            <w14:solidFill>
              <w14:schemeClr w14:val="tx1"/>
            </w14:solidFill>
          </w14:textFill>
        </w:rPr>
        <w:t>南宁兴邕城市更新有限责任公司</w:t>
      </w:r>
      <w:r>
        <w:rPr>
          <w:rFonts w:hint="eastAsia" w:ascii="宋体" w:hAnsi="宋体"/>
          <w:color w:val="000000" w:themeColor="text1"/>
          <w:highlight w:val="none"/>
          <w14:textFill>
            <w14:solidFill>
              <w14:schemeClr w14:val="tx1"/>
            </w14:solidFill>
          </w14:textFill>
        </w:rPr>
        <w:t>官网(http://www.nngddc.com）。</w:t>
      </w:r>
    </w:p>
    <w:p>
      <w:pPr>
        <w:spacing w:before="0" w:after="0" w:afterAutospacing="0"/>
        <w:ind w:left="0" w:right="0" w:firstLine="422" w:firstLineChars="200"/>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 xml:space="preserve">注：比选申请人如未完整下载相关文件，或由于未及时关注比选文件补充通知（补遗）、答疑等相关项目信息而影响比选申请的，其责任由比选申请人自行承担。 </w:t>
      </w:r>
    </w:p>
    <w:p>
      <w:pPr>
        <w:spacing w:before="0" w:after="0" w:afterAutospacing="0"/>
        <w:ind w:left="0" w:right="0" w:firstLine="422" w:firstLineChars="200"/>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6.</w:t>
      </w:r>
      <w:r>
        <w:rPr>
          <w:rFonts w:ascii="宋体" w:hAnsi="宋体"/>
          <w:b/>
          <w:color w:val="000000" w:themeColor="text1"/>
          <w:highlight w:val="none"/>
          <w14:textFill>
            <w14:solidFill>
              <w14:schemeClr w14:val="tx1"/>
            </w14:solidFill>
          </w14:textFill>
        </w:rPr>
        <w:t>比选申请截止时间</w:t>
      </w:r>
      <w:r>
        <w:rPr>
          <w:rFonts w:hint="eastAsia" w:ascii="宋体" w:hAnsi="宋体"/>
          <w:b/>
          <w:color w:val="000000" w:themeColor="text1"/>
          <w:highlight w:val="none"/>
          <w14:textFill>
            <w14:solidFill>
              <w14:schemeClr w14:val="tx1"/>
            </w14:solidFill>
          </w14:textFill>
        </w:rPr>
        <w:t>和</w:t>
      </w:r>
      <w:r>
        <w:rPr>
          <w:rFonts w:ascii="宋体" w:hAnsi="宋体"/>
          <w:b/>
          <w:color w:val="000000" w:themeColor="text1"/>
          <w:highlight w:val="none"/>
          <w14:textFill>
            <w14:solidFill>
              <w14:schemeClr w14:val="tx1"/>
            </w14:solidFill>
          </w14:textFill>
        </w:rPr>
        <w:t>地点</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6.1比选申请文件须密封后于</w:t>
      </w:r>
      <w:r>
        <w:rPr>
          <w:rFonts w:hint="eastAsia" w:ascii="宋体" w:hAnsi="宋体"/>
          <w:b/>
          <w:color w:val="000000" w:themeColor="text1"/>
          <w:highlight w:val="none"/>
          <w14:textFill>
            <w14:solidFill>
              <w14:schemeClr w14:val="tx1"/>
            </w14:solidFill>
          </w14:textFill>
        </w:rPr>
        <w:t>202</w:t>
      </w:r>
      <w:r>
        <w:rPr>
          <w:rFonts w:hint="eastAsia" w:ascii="宋体" w:hAnsi="宋体"/>
          <w:b/>
          <w:color w:val="000000" w:themeColor="text1"/>
          <w:highlight w:val="none"/>
          <w:lang w:val="en-US" w:eastAsia="zh-CN"/>
          <w14:textFill>
            <w14:solidFill>
              <w14:schemeClr w14:val="tx1"/>
            </w14:solidFill>
          </w14:textFill>
        </w:rPr>
        <w:t>4</w:t>
      </w:r>
      <w:r>
        <w:rPr>
          <w:rFonts w:hint="eastAsia" w:ascii="宋体" w:hAnsi="宋体"/>
          <w:b/>
          <w:color w:val="000000" w:themeColor="text1"/>
          <w:highlight w:val="none"/>
          <w14:textFill>
            <w14:solidFill>
              <w14:schemeClr w14:val="tx1"/>
            </w14:solidFill>
          </w14:textFill>
        </w:rPr>
        <w:t>年</w:t>
      </w:r>
      <w:r>
        <w:rPr>
          <w:rFonts w:hint="eastAsia" w:ascii="宋体" w:hAnsi="宋体"/>
          <w:b/>
          <w:color w:val="000000" w:themeColor="text1"/>
          <w:highlight w:val="none"/>
          <w:u w:val="single"/>
          <w:lang w:val="en-US" w:eastAsia="zh-CN"/>
          <w14:textFill>
            <w14:solidFill>
              <w14:schemeClr w14:val="tx1"/>
            </w14:solidFill>
          </w14:textFill>
        </w:rPr>
        <w:t>6</w:t>
      </w:r>
      <w:r>
        <w:rPr>
          <w:rFonts w:hint="eastAsia" w:ascii="宋体" w:hAnsi="宋体"/>
          <w:b/>
          <w:color w:val="000000" w:themeColor="text1"/>
          <w:highlight w:val="none"/>
          <w14:textFill>
            <w14:solidFill>
              <w14:schemeClr w14:val="tx1"/>
            </w14:solidFill>
          </w14:textFill>
        </w:rPr>
        <w:t>月</w:t>
      </w:r>
      <w:r>
        <w:rPr>
          <w:rFonts w:hint="eastAsia" w:ascii="宋体" w:hAnsi="宋体"/>
          <w:b/>
          <w:color w:val="000000" w:themeColor="text1"/>
          <w:highlight w:val="none"/>
          <w:u w:val="single"/>
          <w:lang w:val="en-US" w:eastAsia="zh-CN"/>
          <w14:textFill>
            <w14:solidFill>
              <w14:schemeClr w14:val="tx1"/>
            </w14:solidFill>
          </w14:textFill>
        </w:rPr>
        <w:t>19</w:t>
      </w:r>
      <w:r>
        <w:rPr>
          <w:rFonts w:hint="eastAsia" w:ascii="宋体" w:hAnsi="宋体"/>
          <w:b/>
          <w:color w:val="000000" w:themeColor="text1"/>
          <w:highlight w:val="none"/>
          <w14:textFill>
            <w14:solidFill>
              <w14:schemeClr w14:val="tx1"/>
            </w14:solidFill>
          </w14:textFill>
        </w:rPr>
        <w:t>日9时30分</w:t>
      </w:r>
      <w:r>
        <w:rPr>
          <w:rFonts w:hint="eastAsia" w:ascii="宋体" w:hAnsi="宋体"/>
          <w:color w:val="000000" w:themeColor="text1"/>
          <w:highlight w:val="none"/>
          <w14:textFill>
            <w14:solidFill>
              <w14:schemeClr w14:val="tx1"/>
            </w14:solidFill>
          </w14:textFill>
        </w:rPr>
        <w:t>（北京时间）</w:t>
      </w:r>
      <w:r>
        <w:rPr>
          <w:rFonts w:hint="eastAsia" w:ascii="宋体" w:hAnsi="宋体"/>
          <w:color w:val="000000" w:themeColor="text1"/>
          <w:highlight w:val="none"/>
          <w:lang w:val="en-US" w:eastAsia="zh-CN"/>
          <w14:textFill>
            <w14:solidFill>
              <w14:schemeClr w14:val="tx1"/>
            </w14:solidFill>
          </w14:textFill>
        </w:rPr>
        <w:t>当日</w:t>
      </w:r>
      <w:r>
        <w:rPr>
          <w:rFonts w:hint="eastAsia" w:ascii="宋体" w:hAnsi="宋体"/>
          <w:color w:val="000000" w:themeColor="text1"/>
          <w:highlight w:val="none"/>
          <w14:textFill>
            <w14:solidFill>
              <w14:schemeClr w14:val="tx1"/>
            </w14:solidFill>
          </w14:textFill>
        </w:rPr>
        <w:t>递交，递交地点在广西南宁市青秀区凤岭北路111号南宁国际旅游中心A座1011招采</w:t>
      </w:r>
      <w:r>
        <w:rPr>
          <w:rFonts w:hint="eastAsia" w:ascii="宋体" w:hAnsi="宋体"/>
          <w:color w:val="000000" w:themeColor="text1"/>
          <w:highlight w:val="none"/>
          <w:lang w:val="en-US" w:eastAsia="zh-CN"/>
          <w14:textFill>
            <w14:solidFill>
              <w14:schemeClr w14:val="tx1"/>
            </w14:solidFill>
          </w14:textFill>
        </w:rPr>
        <w:t>/法务</w:t>
      </w:r>
      <w:r>
        <w:rPr>
          <w:rFonts w:hint="eastAsia" w:ascii="宋体" w:hAnsi="宋体"/>
          <w:color w:val="000000" w:themeColor="text1"/>
          <w:highlight w:val="none"/>
          <w14:textFill>
            <w14:solidFill>
              <w14:schemeClr w14:val="tx1"/>
            </w14:solidFill>
          </w14:textFill>
        </w:rPr>
        <w:t>管理中心；</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6.2</w:t>
      </w:r>
      <w:r>
        <w:rPr>
          <w:rFonts w:ascii="宋体" w:hAnsi="宋体"/>
          <w:color w:val="000000" w:themeColor="text1"/>
          <w:highlight w:val="none"/>
          <w14:textFill>
            <w14:solidFill>
              <w14:schemeClr w14:val="tx1"/>
            </w14:solidFill>
          </w14:textFill>
        </w:rPr>
        <w:t>逾期送达的或者未送达指定地点</w:t>
      </w:r>
      <w:r>
        <w:rPr>
          <w:rFonts w:hint="eastAsia" w:ascii="宋体" w:hAnsi="宋体"/>
          <w:color w:val="000000" w:themeColor="text1"/>
          <w:highlight w:val="none"/>
          <w14:textFill>
            <w14:solidFill>
              <w14:schemeClr w14:val="tx1"/>
            </w14:solidFill>
          </w14:textFill>
        </w:rPr>
        <w:t>或者</w:t>
      </w:r>
      <w:r>
        <w:rPr>
          <w:rFonts w:ascii="宋体" w:hAnsi="宋体"/>
          <w:color w:val="000000" w:themeColor="text1"/>
          <w:highlight w:val="none"/>
          <w14:textFill>
            <w14:solidFill>
              <w14:schemeClr w14:val="tx1"/>
            </w14:solidFill>
          </w14:textFill>
        </w:rPr>
        <w:t>未按</w:t>
      </w:r>
      <w:r>
        <w:rPr>
          <w:rFonts w:hint="eastAsia" w:ascii="宋体" w:hAnsi="宋体"/>
          <w:color w:val="000000" w:themeColor="text1"/>
          <w:highlight w:val="none"/>
          <w14:textFill>
            <w14:solidFill>
              <w14:schemeClr w14:val="tx1"/>
            </w14:solidFill>
          </w14:textFill>
        </w:rPr>
        <w:t>比选</w:t>
      </w:r>
      <w:r>
        <w:rPr>
          <w:rFonts w:ascii="宋体" w:hAnsi="宋体"/>
          <w:color w:val="000000" w:themeColor="text1"/>
          <w:highlight w:val="none"/>
          <w14:textFill>
            <w14:solidFill>
              <w14:schemeClr w14:val="tx1"/>
            </w14:solidFill>
          </w14:textFill>
        </w:rPr>
        <w:t>文件要求密封的</w:t>
      </w:r>
      <w:r>
        <w:rPr>
          <w:rFonts w:hint="eastAsia" w:ascii="宋体" w:hAnsi="宋体"/>
          <w:color w:val="000000" w:themeColor="text1"/>
          <w:highlight w:val="none"/>
          <w14:textFill>
            <w14:solidFill>
              <w14:schemeClr w14:val="tx1"/>
            </w14:solidFill>
          </w14:textFill>
        </w:rPr>
        <w:t>比选申请</w:t>
      </w:r>
      <w:r>
        <w:rPr>
          <w:rFonts w:ascii="宋体" w:hAnsi="宋体"/>
          <w:color w:val="000000" w:themeColor="text1"/>
          <w:highlight w:val="none"/>
          <w14:textFill>
            <w14:solidFill>
              <w14:schemeClr w14:val="tx1"/>
            </w14:solidFill>
          </w14:textFill>
        </w:rPr>
        <w:t>文件将被拒绝</w:t>
      </w:r>
      <w:r>
        <w:rPr>
          <w:rFonts w:hint="eastAsia" w:ascii="宋体" w:hAnsi="宋体"/>
          <w:color w:val="000000" w:themeColor="text1"/>
          <w:highlight w:val="none"/>
          <w14:textFill>
            <w14:solidFill>
              <w14:schemeClr w14:val="tx1"/>
            </w14:solidFill>
          </w14:textFill>
        </w:rPr>
        <w:t>。</w:t>
      </w:r>
    </w:p>
    <w:p>
      <w:pPr>
        <w:spacing w:before="0" w:after="0" w:afterAutospacing="0"/>
        <w:ind w:left="0" w:right="0" w:firstLine="422" w:firstLineChars="200"/>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7.发布公告的媒介</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本次比选公告在中国采购与招标网www.chinabidding.com.cn</w:t>
      </w:r>
      <w:r>
        <w:rPr>
          <w:rFonts w:hint="eastAsia" w:ascii="宋体" w:hAnsi="宋体"/>
          <w:color w:val="000000" w:themeColor="text1"/>
          <w:highlight w:val="none"/>
          <w:lang w:eastAsia="zh-CN"/>
          <w14:textFill>
            <w14:solidFill>
              <w14:schemeClr w14:val="tx1"/>
            </w14:solidFill>
          </w14:textFill>
        </w:rPr>
        <w:t>、南宁兴邕城市更新有限责任公司</w:t>
      </w:r>
      <w:r>
        <w:rPr>
          <w:rFonts w:hint="eastAsia" w:ascii="宋体" w:hAnsi="宋体"/>
          <w:color w:val="000000" w:themeColor="text1"/>
          <w:highlight w:val="none"/>
          <w14:textFill>
            <w14:solidFill>
              <w14:schemeClr w14:val="tx1"/>
            </w14:solidFill>
          </w14:textFill>
        </w:rPr>
        <w:t>官网(http://www.nngddc.com)发布。</w:t>
      </w:r>
    </w:p>
    <w:p>
      <w:pPr>
        <w:spacing w:before="0" w:after="0" w:afterAutospacing="0"/>
        <w:ind w:left="0" w:right="0" w:firstLine="422" w:firstLineChars="200"/>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8.联系方式</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 人：</w:t>
      </w:r>
      <w:r>
        <w:rPr>
          <w:rFonts w:hint="eastAsia" w:ascii="宋体" w:hAnsi="宋体"/>
          <w:color w:val="000000" w:themeColor="text1"/>
          <w:highlight w:val="none"/>
          <w:u w:val="single"/>
          <w:lang w:eastAsia="zh-CN"/>
          <w14:textFill>
            <w14:solidFill>
              <w14:schemeClr w14:val="tx1"/>
            </w14:solidFill>
          </w14:textFill>
        </w:rPr>
        <w:t>南宁兴邕城市更新有限责任公司</w:t>
      </w:r>
      <w:r>
        <w:rPr>
          <w:rFonts w:hint="eastAsia" w:ascii="宋体" w:hAnsi="宋体"/>
          <w:color w:val="000000" w:themeColor="text1"/>
          <w:highlight w:val="none"/>
          <w:u w:val="single"/>
          <w14:textFill>
            <w14:solidFill>
              <w14:schemeClr w14:val="tx1"/>
            </w14:solidFill>
          </w14:textFill>
        </w:rPr>
        <w:t xml:space="preserve">  </w:t>
      </w:r>
    </w:p>
    <w:p>
      <w:pPr>
        <w:spacing w:before="0" w:after="0" w:afterAutospacing="0"/>
        <w:ind w:left="0" w:right="0" w:firstLine="420" w:firstLineChars="200"/>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地    址：</w:t>
      </w:r>
      <w:r>
        <w:rPr>
          <w:rFonts w:hint="eastAsia" w:ascii="宋体" w:hAnsi="宋体"/>
          <w:color w:val="000000" w:themeColor="text1"/>
          <w:highlight w:val="none"/>
          <w:u w:val="single"/>
          <w14:textFill>
            <w14:solidFill>
              <w14:schemeClr w14:val="tx1"/>
            </w14:solidFill>
          </w14:textFill>
        </w:rPr>
        <w:t>南宁市青秀区凤岭北路111号南宁国际旅游中心A座</w:t>
      </w:r>
    </w:p>
    <w:p>
      <w:pPr>
        <w:spacing w:before="0" w:after="0" w:afterAutospacing="0"/>
        <w:ind w:left="0" w:right="0" w:firstLine="420" w:firstLineChars="200"/>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邮    编：</w:t>
      </w:r>
      <w:r>
        <w:rPr>
          <w:rFonts w:hint="eastAsia" w:ascii="宋体" w:hAnsi="宋体"/>
          <w:color w:val="000000" w:themeColor="text1"/>
          <w:highlight w:val="none"/>
          <w:u w:val="single"/>
          <w14:textFill>
            <w14:solidFill>
              <w14:schemeClr w14:val="tx1"/>
            </w14:solidFill>
          </w14:textFill>
        </w:rPr>
        <w:t xml:space="preserve">530022  </w:t>
      </w:r>
      <w:r>
        <w:rPr>
          <w:rFonts w:hint="eastAsia" w:ascii="宋体" w:hAnsi="宋体"/>
          <w:color w:val="000000" w:themeColor="text1"/>
          <w:highlight w:val="none"/>
          <w14:textFill>
            <w14:solidFill>
              <w14:schemeClr w14:val="tx1"/>
            </w14:solidFill>
          </w14:textFill>
        </w:rPr>
        <w:t xml:space="preserve">                       </w:t>
      </w:r>
    </w:p>
    <w:p>
      <w:pPr>
        <w:spacing w:before="0" w:after="0" w:afterAutospacing="0"/>
        <w:ind w:left="0" w:right="0" w:firstLine="420" w:firstLineChars="200"/>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联 系 人：</w:t>
      </w:r>
      <w:r>
        <w:rPr>
          <w:rFonts w:hint="eastAsia" w:ascii="宋体" w:hAnsi="宋体"/>
          <w:color w:val="000000" w:themeColor="text1"/>
          <w:highlight w:val="none"/>
          <w:u w:val="single"/>
          <w:lang w:eastAsia="zh-CN"/>
          <w14:textFill>
            <w14:solidFill>
              <w14:schemeClr w14:val="tx1"/>
            </w14:solidFill>
          </w14:textFill>
        </w:rPr>
        <w:t>杨工</w:t>
      </w:r>
      <w:r>
        <w:rPr>
          <w:rFonts w:hint="eastAsia" w:ascii="宋体" w:hAnsi="宋体"/>
          <w:color w:val="000000" w:themeColor="text1"/>
          <w:highlight w:val="none"/>
          <w:u w:val="single"/>
          <w14:textFill>
            <w14:solidFill>
              <w14:schemeClr w14:val="tx1"/>
            </w14:solidFill>
          </w14:textFill>
        </w:rPr>
        <w:t xml:space="preserve">           </w:t>
      </w:r>
    </w:p>
    <w:p>
      <w:pPr>
        <w:spacing w:before="0" w:after="0" w:afterAutospacing="0"/>
        <w:ind w:left="0" w:right="0" w:firstLine="420" w:firstLineChars="200"/>
        <w:rPr>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电    话：：</w:t>
      </w:r>
      <w:r>
        <w:rPr>
          <w:rFonts w:hint="eastAsia" w:ascii="宋体" w:hAnsi="宋体"/>
          <w:color w:val="000000" w:themeColor="text1"/>
          <w:highlight w:val="none"/>
          <w:u w:val="single"/>
          <w14:textFill>
            <w14:solidFill>
              <w14:schemeClr w14:val="tx1"/>
            </w14:solidFill>
          </w14:textFill>
        </w:rPr>
        <w:t>0771-</w:t>
      </w:r>
      <w:r>
        <w:rPr>
          <w:rFonts w:hint="eastAsia" w:ascii="宋体" w:hAnsi="宋体"/>
          <w:color w:val="000000" w:themeColor="text1"/>
          <w:highlight w:val="none"/>
          <w:u w:val="single"/>
          <w:lang w:val="en-US" w:eastAsia="zh-CN"/>
          <w14:textFill>
            <w14:solidFill>
              <w14:schemeClr w14:val="tx1"/>
            </w14:solidFill>
          </w14:textFill>
        </w:rPr>
        <w:t>5521831</w:t>
      </w:r>
      <w:r>
        <w:rPr>
          <w:rFonts w:hint="eastAsia" w:ascii="宋体" w:hAnsi="宋体"/>
          <w:color w:val="000000" w:themeColor="text1"/>
          <w:highlight w:val="none"/>
          <w:u w:val="single"/>
          <w14:textFill>
            <w14:solidFill>
              <w14:schemeClr w14:val="tx1"/>
            </w14:solidFill>
          </w14:textFill>
        </w:rPr>
        <w:t xml:space="preserve"> </w:t>
      </w:r>
    </w:p>
    <w:p>
      <w:pPr>
        <w:spacing w:before="0" w:after="0" w:afterAutospacing="0"/>
        <w:ind w:left="0" w:right="0" w:firstLine="420" w:firstLineChars="200"/>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传真：/</w:t>
      </w:r>
    </w:p>
    <w:p>
      <w:pPr>
        <w:spacing w:before="0" w:after="0" w:afterAutospacing="0"/>
        <w:ind w:left="0" w:right="0" w:firstLine="420" w:firstLineChars="200"/>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电子邮件：nngddchyfgb@163.com</w:t>
      </w:r>
    </w:p>
    <w:p>
      <w:pPr>
        <w:spacing w:before="0" w:after="0" w:afterAutospacing="0"/>
        <w:ind w:left="0" w:right="0" w:firstLine="420" w:firstLineChars="200"/>
        <w:rPr>
          <w:rFonts w:ascii="宋体" w:hAnsi="宋体"/>
          <w:color w:val="000000" w:themeColor="text1"/>
          <w:highlight w:val="none"/>
          <w:u w:val="single"/>
          <w14:textFill>
            <w14:solidFill>
              <w14:schemeClr w14:val="tx1"/>
            </w14:solidFill>
          </w14:textFill>
        </w:rPr>
      </w:pPr>
    </w:p>
    <w:p>
      <w:pPr>
        <w:pStyle w:val="15"/>
        <w:pageBreakBefore/>
        <w:ind w:right="-57" w:firstLine="0"/>
        <w:jc w:val="center"/>
        <w:outlineLvl w:val="0"/>
        <w:rPr>
          <w:rStyle w:val="53"/>
          <w:rFonts w:ascii="宋体" w:hAnsi="宋体" w:eastAsia="宋体"/>
          <w:color w:val="000000" w:themeColor="text1"/>
          <w:highlight w:val="none"/>
          <w14:textFill>
            <w14:solidFill>
              <w14:schemeClr w14:val="tx1"/>
            </w14:solidFill>
          </w14:textFill>
        </w:rPr>
      </w:pPr>
      <w:bookmarkStart w:id="21" w:name="_Toc322528192"/>
      <w:bookmarkEnd w:id="21"/>
      <w:bookmarkStart w:id="22" w:name="_Toc512357502"/>
      <w:bookmarkStart w:id="23" w:name="_Toc18454"/>
      <w:bookmarkStart w:id="24" w:name="_Toc21830"/>
      <w:bookmarkStart w:id="25" w:name="_Toc30883"/>
      <w:bookmarkStart w:id="26" w:name="_Toc17594"/>
      <w:bookmarkStart w:id="27" w:name="_Toc20201"/>
      <w:bookmarkStart w:id="28" w:name="_Toc15976"/>
      <w:bookmarkStart w:id="29" w:name="_Toc17240"/>
      <w:bookmarkStart w:id="30" w:name="_Toc30950"/>
      <w:bookmarkStart w:id="31" w:name="_Toc4114"/>
      <w:bookmarkStart w:id="32" w:name="_Toc17735"/>
      <w:bookmarkStart w:id="33" w:name="_Toc22273"/>
      <w:bookmarkStart w:id="34" w:name="_Toc1230"/>
      <w:bookmarkStart w:id="35" w:name="_Toc29836"/>
      <w:bookmarkStart w:id="36" w:name="_Toc24390"/>
      <w:bookmarkStart w:id="37" w:name="_Toc3495"/>
      <w:bookmarkStart w:id="38" w:name="_Toc30725"/>
      <w:bookmarkStart w:id="39" w:name="_Toc24972"/>
      <w:bookmarkStart w:id="40" w:name="_Toc12635"/>
      <w:r>
        <w:rPr>
          <w:rStyle w:val="53"/>
          <w:rFonts w:hint="eastAsia" w:ascii="宋体" w:hAnsi="宋体" w:eastAsia="宋体"/>
          <w:color w:val="000000" w:themeColor="text1"/>
          <w:highlight w:val="none"/>
          <w14:textFill>
            <w14:solidFill>
              <w14:schemeClr w14:val="tx1"/>
            </w14:solidFill>
          </w14:textFill>
        </w:rPr>
        <w:t>第二章</w:t>
      </w:r>
      <w:bookmarkEnd w:id="22"/>
      <w:r>
        <w:rPr>
          <w:rStyle w:val="53"/>
          <w:rFonts w:hint="eastAsia" w:ascii="宋体" w:hAnsi="宋体" w:eastAsia="宋体"/>
          <w:color w:val="000000" w:themeColor="text1"/>
          <w:highlight w:val="none"/>
          <w14:textFill>
            <w14:solidFill>
              <w14:schemeClr w14:val="tx1"/>
            </w14:solidFill>
          </w14:textFill>
        </w:rPr>
        <w:t>比选申请须知</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pPr>
        <w:pStyle w:val="15"/>
        <w:spacing w:before="0" w:after="0"/>
        <w:ind w:right="0" w:firstLine="0"/>
        <w:jc w:val="center"/>
        <w:rPr>
          <w:rFonts w:hAnsi="宋体"/>
          <w:b/>
          <w:color w:val="000000" w:themeColor="text1"/>
          <w:sz w:val="30"/>
          <w:szCs w:val="30"/>
          <w:highlight w:val="none"/>
          <w14:textFill>
            <w14:solidFill>
              <w14:schemeClr w14:val="tx1"/>
            </w14:solidFill>
          </w14:textFill>
        </w:rPr>
      </w:pPr>
      <w:r>
        <w:rPr>
          <w:rFonts w:hint="eastAsia" w:hAnsi="宋体"/>
          <w:b/>
          <w:color w:val="000000" w:themeColor="text1"/>
          <w:sz w:val="30"/>
          <w:szCs w:val="30"/>
          <w:highlight w:val="none"/>
          <w14:textFill>
            <w14:solidFill>
              <w14:schemeClr w14:val="tx1"/>
            </w14:solidFill>
          </w14:textFill>
        </w:rPr>
        <w:t>比选申请须知前附表</w:t>
      </w:r>
    </w:p>
    <w:tbl>
      <w:tblPr>
        <w:tblStyle w:val="35"/>
        <w:tblW w:w="9117" w:type="dxa"/>
        <w:tblInd w:w="112" w:type="dxa"/>
        <w:tblLayout w:type="fixed"/>
        <w:tblCellMar>
          <w:top w:w="0" w:type="dxa"/>
          <w:left w:w="108" w:type="dxa"/>
          <w:bottom w:w="0" w:type="dxa"/>
          <w:right w:w="108" w:type="dxa"/>
        </w:tblCellMar>
      </w:tblPr>
      <w:tblGrid>
        <w:gridCol w:w="847"/>
        <w:gridCol w:w="1559"/>
        <w:gridCol w:w="6711"/>
      </w:tblGrid>
      <w:tr>
        <w:tblPrEx>
          <w:tblCellMar>
            <w:top w:w="0" w:type="dxa"/>
            <w:left w:w="108" w:type="dxa"/>
            <w:bottom w:w="0" w:type="dxa"/>
            <w:right w:w="108" w:type="dxa"/>
          </w:tblCellMar>
        </w:tblPrEx>
        <w:trPr>
          <w:trHeight w:val="273"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条款号</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条款名称</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详细内容</w:t>
            </w:r>
          </w:p>
        </w:tc>
      </w:tr>
      <w:tr>
        <w:tblPrEx>
          <w:tblCellMar>
            <w:top w:w="0" w:type="dxa"/>
            <w:left w:w="108" w:type="dxa"/>
            <w:bottom w:w="0" w:type="dxa"/>
            <w:right w:w="108" w:type="dxa"/>
          </w:tblCellMar>
        </w:tblPrEx>
        <w:trPr>
          <w:trHeight w:val="1197"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1.1</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比选人</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hint="eastAsia" w:ascii="宋体" w:hAnsi="宋体"/>
                <w:color w:val="000000" w:themeColor="text1"/>
                <w:highlight w:val="none"/>
                <w:lang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名称：</w:t>
            </w:r>
            <w:r>
              <w:rPr>
                <w:rFonts w:hint="eastAsia" w:ascii="宋体" w:hAnsi="宋体"/>
                <w:color w:val="000000" w:themeColor="text1"/>
                <w:highlight w:val="none"/>
                <w:lang w:eastAsia="zh-CN"/>
                <w14:textFill>
                  <w14:solidFill>
                    <w14:schemeClr w14:val="tx1"/>
                  </w14:solidFill>
                </w14:textFill>
              </w:rPr>
              <w:t>南宁市白沙半岛片区城中村改造项目安置住房小区4号地块配套基础设施-纵一路设计</w:t>
            </w:r>
          </w:p>
          <w:p>
            <w:pPr>
              <w:spacing w:before="0" w:after="0" w:afterAutospacing="0"/>
              <w:ind w:left="0" w:right="0" w:firstLine="0"/>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地址：南宁市青秀区凤岭北路111号南宁国际旅游中心A座</w:t>
            </w:r>
          </w:p>
          <w:p>
            <w:pPr>
              <w:spacing w:before="0" w:after="0" w:afterAutospacing="0"/>
              <w:ind w:left="0" w:right="0" w:firstLine="0"/>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联系人：</w:t>
            </w:r>
            <w:r>
              <w:rPr>
                <w:rFonts w:hint="eastAsia" w:ascii="宋体" w:hAnsi="宋体"/>
                <w:color w:val="000000" w:themeColor="text1"/>
                <w:highlight w:val="none"/>
                <w:lang w:eastAsia="zh-CN"/>
                <w14:textFill>
                  <w14:solidFill>
                    <w14:schemeClr w14:val="tx1"/>
                  </w14:solidFill>
                </w14:textFill>
              </w:rPr>
              <w:t>杨工</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联系电话：0771-</w:t>
            </w:r>
            <w:r>
              <w:rPr>
                <w:rFonts w:hint="eastAsia" w:ascii="宋体" w:hAnsi="宋体"/>
                <w:color w:val="000000" w:themeColor="text1"/>
                <w:highlight w:val="none"/>
                <w:lang w:val="en-US" w:eastAsia="zh-CN"/>
                <w14:textFill>
                  <w14:solidFill>
                    <w14:schemeClr w14:val="tx1"/>
                  </w14:solidFill>
                </w14:textFill>
              </w:rPr>
              <w:t>5521831</w:t>
            </w:r>
            <w:r>
              <w:rPr>
                <w:rFonts w:hint="eastAsia" w:ascii="宋体" w:hAnsi="宋体"/>
                <w:color w:val="000000" w:themeColor="text1"/>
                <w:highlight w:val="none"/>
                <w14:textFill>
                  <w14:solidFill>
                    <w14:schemeClr w14:val="tx1"/>
                  </w14:solidFill>
                </w14:textFill>
              </w:rPr>
              <w:t xml:space="preserve"> </w:t>
            </w:r>
            <w:r>
              <w:rPr>
                <w:color w:val="000000" w:themeColor="text1"/>
                <w:highlight w:val="none"/>
                <w14:textFill>
                  <w14:solidFill>
                    <w14:schemeClr w14:val="tx1"/>
                  </w14:solidFill>
                </w14:textFill>
              </w:rPr>
              <w:t xml:space="preserve"> </w:t>
            </w:r>
          </w:p>
        </w:tc>
      </w:tr>
      <w:tr>
        <w:tblPrEx>
          <w:tblCellMar>
            <w:top w:w="0" w:type="dxa"/>
            <w:left w:w="108" w:type="dxa"/>
            <w:bottom w:w="0" w:type="dxa"/>
            <w:right w:w="108" w:type="dxa"/>
          </w:tblCellMar>
        </w:tblPrEx>
        <w:trPr>
          <w:trHeight w:val="140"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1.2</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项目名称</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color w:val="000000" w:themeColor="text1"/>
                <w:highlight w:val="none"/>
                <w:lang w:eastAsia="zh-CN"/>
                <w14:textFill>
                  <w14:solidFill>
                    <w14:schemeClr w14:val="tx1"/>
                  </w14:solidFill>
                </w14:textFill>
              </w:rPr>
              <w:t>南宁市白沙半岛片区城中村改造项目安置住房小区4号地块配套基础设施-纵一路设计</w:t>
            </w:r>
          </w:p>
        </w:tc>
      </w:tr>
      <w:tr>
        <w:tblPrEx>
          <w:tblCellMar>
            <w:top w:w="0" w:type="dxa"/>
            <w:left w:w="108" w:type="dxa"/>
            <w:bottom w:w="0" w:type="dxa"/>
            <w:right w:w="108" w:type="dxa"/>
          </w:tblCellMar>
        </w:tblPrEx>
        <w:trPr>
          <w:trHeight w:val="140"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1.3</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项目编号</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无</w:t>
            </w:r>
          </w:p>
        </w:tc>
      </w:tr>
      <w:tr>
        <w:tblPrEx>
          <w:tblCellMar>
            <w:top w:w="0" w:type="dxa"/>
            <w:left w:w="108" w:type="dxa"/>
            <w:bottom w:w="0" w:type="dxa"/>
            <w:right w:w="108" w:type="dxa"/>
          </w:tblCellMar>
        </w:tblPrEx>
        <w:trPr>
          <w:trHeight w:val="140"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1.4</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w:t>
            </w:r>
            <w:r>
              <w:rPr>
                <w:rFonts w:ascii="宋体" w:hAnsi="宋体"/>
                <w:color w:val="000000" w:themeColor="text1"/>
                <w:highlight w:val="none"/>
                <w14:textFill>
                  <w14:solidFill>
                    <w14:schemeClr w14:val="tx1"/>
                  </w14:solidFill>
                </w14:textFill>
              </w:rPr>
              <w:t>范围</w:t>
            </w:r>
          </w:p>
        </w:tc>
        <w:tc>
          <w:tcPr>
            <w:tcW w:w="6711"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0" w:after="0" w:afterAutospacing="0"/>
              <w:ind w:left="0" w:right="0" w:firstLine="0"/>
              <w:textAlignment w:val="auto"/>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eastAsia="zh-CN"/>
                <w14:textFill>
                  <w14:solidFill>
                    <w14:schemeClr w14:val="tx1"/>
                  </w14:solidFill>
                </w14:textFill>
              </w:rPr>
              <w:t>南宁市白沙半岛片区城中村改造项目安置住房小区4号地块配套基础设施-纵一路设计</w:t>
            </w:r>
            <w:r>
              <w:rPr>
                <w:rFonts w:hint="eastAsia" w:ascii="宋体" w:hAnsi="宋体"/>
                <w:color w:val="000000" w:themeColor="text1"/>
                <w:highlight w:val="none"/>
                <w14:textFill>
                  <w14:solidFill>
                    <w14:schemeClr w14:val="tx1"/>
                  </w14:solidFill>
                </w14:textFill>
              </w:rPr>
              <w:t>，设计服务包含方案设计</w:t>
            </w:r>
            <w:r>
              <w:rPr>
                <w:rFonts w:hint="eastAsia" w:ascii="宋体" w:hAnsi="宋体"/>
                <w:color w:val="000000" w:themeColor="text1"/>
                <w:highlight w:val="none"/>
                <w:lang w:eastAsia="zh-CN"/>
                <w14:textFill>
                  <w14:solidFill>
                    <w14:schemeClr w14:val="tx1"/>
                  </w14:solidFill>
                </w14:textFill>
              </w:rPr>
              <w:t>、</w:t>
            </w:r>
            <w:r>
              <w:rPr>
                <w:rFonts w:hint="eastAsia" w:ascii="宋体" w:hAnsi="宋体"/>
                <w:color w:val="000000" w:themeColor="text1"/>
                <w:highlight w:val="none"/>
                <w:lang w:val="en-US" w:eastAsia="zh-CN"/>
                <w14:textFill>
                  <w14:solidFill>
                    <w14:schemeClr w14:val="tx1"/>
                  </w14:solidFill>
                </w14:textFill>
              </w:rPr>
              <w:t>初步设计、施工图设计、</w:t>
            </w:r>
            <w:r>
              <w:rPr>
                <w:rFonts w:hint="eastAsia" w:ascii="宋体" w:hAnsi="宋体"/>
                <w:color w:val="000000" w:themeColor="text1"/>
                <w:highlight w:val="none"/>
                <w14:textFill>
                  <w14:solidFill>
                    <w14:schemeClr w14:val="tx1"/>
                  </w14:solidFill>
                </w14:textFill>
              </w:rPr>
              <w:t>工程概算</w:t>
            </w:r>
            <w:r>
              <w:rPr>
                <w:rFonts w:hint="eastAsia" w:ascii="宋体" w:hAnsi="宋体"/>
                <w:color w:val="000000" w:themeColor="text1"/>
                <w:highlight w:val="none"/>
                <w:lang w:eastAsia="zh-CN"/>
                <w14:textFill>
                  <w14:solidFill>
                    <w14:schemeClr w14:val="tx1"/>
                  </w14:solidFill>
                </w14:textFill>
              </w:rPr>
              <w:t>、</w:t>
            </w:r>
            <w:r>
              <w:rPr>
                <w:rFonts w:hint="eastAsia" w:ascii="宋体" w:hAnsi="宋体"/>
                <w:color w:val="000000" w:themeColor="text1"/>
                <w:highlight w:val="none"/>
                <w:lang w:val="en-US" w:eastAsia="zh-CN"/>
                <w14:textFill>
                  <w14:solidFill>
                    <w14:schemeClr w14:val="tx1"/>
                  </w14:solidFill>
                </w14:textFill>
              </w:rPr>
              <w:t>施工图预算</w:t>
            </w:r>
            <w:r>
              <w:rPr>
                <w:rFonts w:hint="eastAsia" w:ascii="宋体" w:hAnsi="宋体"/>
                <w:color w:val="000000" w:themeColor="text1"/>
                <w:highlight w:val="none"/>
                <w14:textFill>
                  <w14:solidFill>
                    <w14:schemeClr w14:val="tx1"/>
                  </w14:solidFill>
                </w14:textFill>
              </w:rPr>
              <w:t>等设计成果</w:t>
            </w:r>
            <w:r>
              <w:rPr>
                <w:rFonts w:hint="eastAsia" w:ascii="宋体" w:hAnsi="宋体"/>
                <w:color w:val="000000" w:themeColor="text1"/>
                <w:highlight w:val="none"/>
                <w:lang w:eastAsia="zh-CN"/>
                <w14:textFill>
                  <w14:solidFill>
                    <w14:schemeClr w14:val="tx1"/>
                  </w14:solidFill>
                </w14:textFill>
              </w:rPr>
              <w:t>、</w:t>
            </w:r>
            <w:r>
              <w:rPr>
                <w:rFonts w:hint="eastAsia" w:ascii="宋体" w:hAnsi="宋体"/>
                <w:color w:val="000000" w:themeColor="text1"/>
                <w:highlight w:val="none"/>
                <w:lang w:val="en-US" w:eastAsia="zh-CN"/>
                <w14:textFill>
                  <w14:solidFill>
                    <w14:schemeClr w14:val="tx1"/>
                  </w14:solidFill>
                </w14:textFill>
              </w:rPr>
              <w:t>规划设计审查</w:t>
            </w:r>
            <w:r>
              <w:rPr>
                <w:rFonts w:hint="eastAsia" w:ascii="宋体" w:hAnsi="宋体"/>
                <w:color w:val="000000" w:themeColor="text1"/>
                <w:highlight w:val="none"/>
                <w14:textFill>
                  <w14:solidFill>
                    <w14:schemeClr w14:val="tx1"/>
                  </w14:solidFill>
                </w14:textFill>
              </w:rPr>
              <w:t>、施工阶段配合。</w:t>
            </w:r>
          </w:p>
        </w:tc>
      </w:tr>
      <w:tr>
        <w:tblPrEx>
          <w:tblCellMar>
            <w:top w:w="0" w:type="dxa"/>
            <w:left w:w="108" w:type="dxa"/>
            <w:bottom w:w="0" w:type="dxa"/>
            <w:right w:w="108" w:type="dxa"/>
          </w:tblCellMar>
        </w:tblPrEx>
        <w:trPr>
          <w:trHeight w:val="140"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1.5</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服务期</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right="0"/>
              <w:rPr>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自比选人与中选人签订的合同生效之日起至项目竣工验收。</w:t>
            </w:r>
          </w:p>
        </w:tc>
      </w:tr>
      <w:tr>
        <w:tblPrEx>
          <w:tblCellMar>
            <w:top w:w="0" w:type="dxa"/>
            <w:left w:w="108" w:type="dxa"/>
            <w:bottom w:w="0" w:type="dxa"/>
            <w:right w:w="108" w:type="dxa"/>
          </w:tblCellMar>
        </w:tblPrEx>
        <w:trPr>
          <w:trHeight w:val="140"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1.6</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资金来源</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企业自有资金</w:t>
            </w:r>
          </w:p>
        </w:tc>
      </w:tr>
      <w:tr>
        <w:tblPrEx>
          <w:tblCellMar>
            <w:top w:w="0" w:type="dxa"/>
            <w:left w:w="108" w:type="dxa"/>
            <w:bottom w:w="0" w:type="dxa"/>
            <w:right w:w="108" w:type="dxa"/>
          </w:tblCellMar>
        </w:tblPrEx>
        <w:trPr>
          <w:trHeight w:val="852"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1.7</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上限控制价</w:t>
            </w:r>
          </w:p>
        </w:tc>
        <w:tc>
          <w:tcPr>
            <w:tcW w:w="6711"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0" w:after="0" w:afterAutospacing="0"/>
              <w:ind w:left="0" w:right="0" w:firstLine="0"/>
              <w:jc w:val="both"/>
              <w:textAlignment w:val="auto"/>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上限控制价（含税）：</w:t>
            </w:r>
            <w:r>
              <w:rPr>
                <w:rFonts w:hint="eastAsia" w:ascii="宋体" w:hAnsi="宋体"/>
                <w:color w:val="000000" w:themeColor="text1"/>
                <w:highlight w:val="none"/>
                <w:lang w:val="en-US" w:eastAsia="zh-CN"/>
                <w14:textFill>
                  <w14:solidFill>
                    <w14:schemeClr w14:val="tx1"/>
                  </w14:solidFill>
                </w14:textFill>
              </w:rPr>
              <w:t xml:space="preserve">611,600.00 </w:t>
            </w:r>
            <w:r>
              <w:rPr>
                <w:rFonts w:hint="eastAsia" w:ascii="宋体" w:hAnsi="宋体"/>
                <w:color w:val="000000" w:themeColor="text1"/>
                <w:highlight w:val="none"/>
                <w14:textFill>
                  <w14:solidFill>
                    <w14:schemeClr w14:val="tx1"/>
                  </w14:solidFill>
                </w14:textFill>
              </w:rPr>
              <w:t>元</w:t>
            </w:r>
            <w:r>
              <w:rPr>
                <w:rFonts w:hint="eastAsia" w:ascii="宋体" w:hAnsi="宋体"/>
                <w:color w:val="000000" w:themeColor="text1"/>
                <w:highlight w:val="none"/>
                <w14:textFill>
                  <w14:solidFill>
                    <w14:schemeClr w14:val="tx1"/>
                  </w14:solidFill>
                </w14:textFill>
              </w:rPr>
              <w:t>。比选申请报价高于上限控制价（或分项上限控制价）的比选申请文件将按否决比选申请处理。</w:t>
            </w:r>
          </w:p>
        </w:tc>
      </w:tr>
      <w:tr>
        <w:tblPrEx>
          <w:tblCellMar>
            <w:top w:w="0" w:type="dxa"/>
            <w:left w:w="108" w:type="dxa"/>
            <w:bottom w:w="0" w:type="dxa"/>
            <w:right w:w="108" w:type="dxa"/>
          </w:tblCellMar>
        </w:tblPrEx>
        <w:trPr>
          <w:trHeight w:val="279"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比选申请人应具备的资格条件</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420" w:firstLineChars="200"/>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3.1比选申请人为中华人民共和国境内依法设立的法人或其他组织</w:t>
            </w:r>
          </w:p>
          <w:p>
            <w:pPr>
              <w:spacing w:before="0" w:after="0" w:afterAutospacing="0"/>
              <w:ind w:left="0" w:right="0" w:firstLine="420" w:firstLineChars="200"/>
              <w:rPr>
                <w:rFonts w:hint="default" w:ascii="宋体" w:hAnsi="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3.2 </w:t>
            </w:r>
            <w:r>
              <w:rPr>
                <w:rFonts w:hint="eastAsia" w:ascii="宋体" w:hAnsi="宋体"/>
                <w:color w:val="000000" w:themeColor="text1"/>
                <w:highlight w:val="none"/>
                <w:lang w:val="en-US" w:eastAsia="zh-CN"/>
                <w14:textFill>
                  <w14:solidFill>
                    <w14:schemeClr w14:val="tx1"/>
                  </w14:solidFill>
                </w14:textFill>
              </w:rPr>
              <w:t>资质条件：具备工程设计综合</w:t>
            </w:r>
            <w:r>
              <w:rPr>
                <w:rFonts w:hint="default" w:ascii="宋体" w:hAnsi="宋体"/>
                <w:color w:val="000000" w:themeColor="text1"/>
                <w:highlight w:val="none"/>
                <w:lang w:val="en-US" w:eastAsia="zh-CN"/>
                <w14:textFill>
                  <w14:solidFill>
                    <w14:schemeClr w14:val="tx1"/>
                  </w14:solidFill>
                </w14:textFill>
              </w:rPr>
              <w:t>甲级资质或者工程设计市政行业乙级及以上资质</w:t>
            </w:r>
            <w:r>
              <w:rPr>
                <w:rFonts w:hint="eastAsia" w:ascii="宋体" w:hAnsi="宋体"/>
                <w:color w:val="000000" w:themeColor="text1"/>
                <w:highlight w:val="none"/>
                <w:lang w:val="en-US" w:eastAsia="zh-CN"/>
                <w14:textFill>
                  <w14:solidFill>
                    <w14:schemeClr w14:val="tx1"/>
                  </w14:solidFill>
                </w14:textFill>
              </w:rPr>
              <w:t>。</w:t>
            </w:r>
          </w:p>
          <w:p>
            <w:pPr>
              <w:spacing w:before="0" w:after="0" w:afterAutospacing="0"/>
              <w:ind w:left="0" w:right="0" w:firstLine="420" w:firstLineChars="200"/>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3.3</w:t>
            </w:r>
            <w:r>
              <w:rPr>
                <w:rFonts w:hint="eastAsia" w:ascii="宋体" w:hAnsi="宋体"/>
                <w:color w:val="000000" w:themeColor="text1"/>
                <w:highlight w:val="none"/>
                <w14:textFill>
                  <w14:solidFill>
                    <w14:schemeClr w14:val="tx1"/>
                  </w14:solidFill>
                </w14:textFill>
              </w:rPr>
              <w:t>业绩条件：</w:t>
            </w:r>
            <w:r>
              <w:rPr>
                <w:rFonts w:hint="eastAsia" w:ascii="宋体" w:hAnsi="宋体"/>
                <w:color w:val="000000" w:themeColor="text1"/>
                <w:highlight w:val="none"/>
                <w:lang w:val="en-US" w:eastAsia="zh-CN"/>
                <w14:textFill>
                  <w14:solidFill>
                    <w14:schemeClr w14:val="tx1"/>
                  </w14:solidFill>
                </w14:textFill>
              </w:rPr>
              <w:t>比选申请人自2021年1月1日至比选申请截止时间前，承接过（完工/在建项目）1个及以上40万元（含）以上的市政工程设计项目。</w:t>
            </w:r>
          </w:p>
          <w:p>
            <w:pPr>
              <w:spacing w:before="0" w:after="0" w:afterAutospacing="0"/>
              <w:ind w:left="0" w:right="0" w:firstLine="420" w:firstLineChars="200"/>
              <w:rPr>
                <w:rFonts w:hint="default" w:ascii="宋体" w:hAnsi="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3.4 人员要求：项目负责人的资格要求具有工程相关专业中级职称（含）</w:t>
            </w:r>
            <w:r>
              <w:rPr>
                <w:rFonts w:hint="default" w:ascii="宋体" w:hAnsi="宋体"/>
                <w:color w:val="000000" w:themeColor="text1"/>
                <w:highlight w:val="none"/>
                <w:lang w:val="en-US" w:eastAsia="zh-CN"/>
                <w14:textFill>
                  <w14:solidFill>
                    <w14:schemeClr w14:val="tx1"/>
                  </w14:solidFill>
                </w14:textFill>
              </w:rPr>
              <w:t>以上</w:t>
            </w:r>
            <w:r>
              <w:rPr>
                <w:rFonts w:hint="eastAsia" w:ascii="宋体" w:hAnsi="宋体"/>
                <w:color w:val="000000" w:themeColor="text1"/>
                <w:highlight w:val="none"/>
                <w:lang w:val="en-US" w:eastAsia="zh-CN"/>
                <w14:textFill>
                  <w14:solidFill>
                    <w14:schemeClr w14:val="tx1"/>
                  </w14:solidFill>
                </w14:textFill>
              </w:rPr>
              <w:t>。</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3.5</w:t>
            </w:r>
            <w:r>
              <w:rPr>
                <w:rFonts w:hint="eastAsia" w:ascii="宋体" w:hAnsi="宋体"/>
                <w:color w:val="000000" w:themeColor="text1"/>
                <w:highlight w:val="none"/>
                <w14:textFill>
                  <w14:solidFill>
                    <w14:schemeClr w14:val="tx1"/>
                  </w14:solidFill>
                </w14:textFill>
              </w:rPr>
              <w:t>比选申请人没有处于被行政主管部门或业主取消比选申请资格的处罚期内，且没有处于被责令停业，财产被接管、冻结、破产状态；比选申请截止时间前3年内没有骗取中选、严重违约或重大质量安全责任事故的情况；</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w:t>
            </w:r>
            <w:r>
              <w:rPr>
                <w:rFonts w:hint="eastAsia" w:ascii="宋体" w:hAnsi="宋体"/>
                <w:color w:val="000000" w:themeColor="text1"/>
                <w:highlight w:val="none"/>
                <w:lang w:val="en-US" w:eastAsia="zh-CN"/>
                <w14:textFill>
                  <w14:solidFill>
                    <w14:schemeClr w14:val="tx1"/>
                  </w14:solidFill>
                </w14:textFill>
              </w:rPr>
              <w:t>6</w:t>
            </w:r>
            <w:r>
              <w:rPr>
                <w:rFonts w:hint="eastAsia" w:ascii="宋体" w:hAnsi="宋体"/>
                <w:color w:val="000000" w:themeColor="text1"/>
                <w:highlight w:val="none"/>
                <w14:textFill>
                  <w14:solidFill>
                    <w14:schemeClr w14:val="tx1"/>
                  </w14:solidFill>
                </w14:textFill>
              </w:rPr>
              <w:t>单位负责人为同一人或者存在控股、管理关系的不同单位，不得参加同一标段比选申请或者未划分标段的同一比选项目比选申请。</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w:t>
            </w:r>
            <w:r>
              <w:rPr>
                <w:rFonts w:hint="eastAsia" w:ascii="宋体" w:hAnsi="宋体"/>
                <w:color w:val="000000" w:themeColor="text1"/>
                <w:highlight w:val="none"/>
                <w:lang w:val="en-US" w:eastAsia="zh-CN"/>
                <w14:textFill>
                  <w14:solidFill>
                    <w14:schemeClr w14:val="tx1"/>
                  </w14:solidFill>
                </w14:textFill>
              </w:rPr>
              <w:t>7</w:t>
            </w:r>
            <w:r>
              <w:rPr>
                <w:rFonts w:hint="eastAsia" w:ascii="宋体" w:hAnsi="宋体"/>
                <w:color w:val="000000" w:themeColor="text1"/>
                <w:highlight w:val="none"/>
                <w14:textFill>
                  <w14:solidFill>
                    <w14:schemeClr w14:val="tx1"/>
                  </w14:solidFill>
                </w14:textFill>
              </w:rPr>
              <w:t>本项目不接受联合体比选申请。</w:t>
            </w:r>
          </w:p>
        </w:tc>
      </w:tr>
      <w:tr>
        <w:tblPrEx>
          <w:tblCellMar>
            <w:top w:w="0" w:type="dxa"/>
            <w:left w:w="108" w:type="dxa"/>
            <w:bottom w:w="0" w:type="dxa"/>
            <w:right w:w="108" w:type="dxa"/>
          </w:tblCellMar>
        </w:tblPrEx>
        <w:trPr>
          <w:trHeight w:val="241" w:hRule="atLeast"/>
        </w:trPr>
        <w:tc>
          <w:tcPr>
            <w:tcW w:w="847" w:type="dxa"/>
            <w:vMerge w:val="restart"/>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6.1</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比选申请人要求澄清比选文件</w:t>
            </w:r>
          </w:p>
          <w:p>
            <w:pPr>
              <w:spacing w:before="0" w:after="0" w:afterAutospacing="0"/>
              <w:ind w:left="0" w:right="0" w:firstLine="0"/>
              <w:rPr>
                <w:rFonts w:ascii="宋体" w:hAnsi="宋体"/>
                <w:color w:val="000000" w:themeColor="text1"/>
                <w:highlight w:val="none"/>
                <w14:textFill>
                  <w14:solidFill>
                    <w14:schemeClr w14:val="tx1"/>
                  </w14:solidFill>
                </w14:textFill>
              </w:rPr>
            </w:pP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对比选文件提出疑问的截止时间：</w:t>
            </w:r>
            <w:r>
              <w:rPr>
                <w:rFonts w:hint="eastAsia" w:ascii="宋体" w:hAnsi="宋体"/>
                <w:b/>
                <w:color w:val="000000" w:themeColor="text1"/>
                <w:highlight w:val="none"/>
                <w14:textFill>
                  <w14:solidFill>
                    <w14:schemeClr w14:val="tx1"/>
                  </w14:solidFill>
                </w14:textFill>
              </w:rPr>
              <w:t>202</w:t>
            </w:r>
            <w:r>
              <w:rPr>
                <w:rFonts w:hint="eastAsia" w:ascii="宋体" w:hAnsi="宋体"/>
                <w:b/>
                <w:color w:val="000000" w:themeColor="text1"/>
                <w:highlight w:val="none"/>
                <w:lang w:val="en-US" w:eastAsia="zh-CN"/>
                <w14:textFill>
                  <w14:solidFill>
                    <w14:schemeClr w14:val="tx1"/>
                  </w14:solidFill>
                </w14:textFill>
              </w:rPr>
              <w:t>4</w:t>
            </w:r>
            <w:r>
              <w:rPr>
                <w:rFonts w:hint="eastAsia" w:ascii="宋体" w:hAnsi="宋体"/>
                <w:b/>
                <w:color w:val="000000" w:themeColor="text1"/>
                <w:highlight w:val="none"/>
                <w14:textFill>
                  <w14:solidFill>
                    <w14:schemeClr w14:val="tx1"/>
                  </w14:solidFill>
                </w14:textFill>
              </w:rPr>
              <w:t>年</w:t>
            </w:r>
            <w:r>
              <w:rPr>
                <w:rFonts w:hint="eastAsia" w:ascii="宋体" w:hAnsi="宋体"/>
                <w:b/>
                <w:color w:val="000000" w:themeColor="text1"/>
                <w:highlight w:val="none"/>
                <w:lang w:val="en-US" w:eastAsia="zh-CN"/>
                <w14:textFill>
                  <w14:solidFill>
                    <w14:schemeClr w14:val="tx1"/>
                  </w14:solidFill>
                </w14:textFill>
              </w:rPr>
              <w:t>6</w:t>
            </w:r>
            <w:r>
              <w:rPr>
                <w:rFonts w:hint="eastAsia" w:ascii="宋体" w:hAnsi="宋体"/>
                <w:b/>
                <w:color w:val="000000" w:themeColor="text1"/>
                <w:highlight w:val="none"/>
                <w14:textFill>
                  <w14:solidFill>
                    <w14:schemeClr w14:val="tx1"/>
                  </w14:solidFill>
                </w14:textFill>
              </w:rPr>
              <w:t>月</w:t>
            </w:r>
            <w:r>
              <w:rPr>
                <w:rFonts w:hint="eastAsia" w:ascii="宋体" w:hAnsi="宋体"/>
                <w:b/>
                <w:color w:val="000000" w:themeColor="text1"/>
                <w:highlight w:val="none"/>
                <w:lang w:val="en-US" w:eastAsia="zh-CN"/>
                <w14:textFill>
                  <w14:solidFill>
                    <w14:schemeClr w14:val="tx1"/>
                  </w14:solidFill>
                </w14:textFill>
              </w:rPr>
              <w:t>17</w:t>
            </w:r>
            <w:r>
              <w:rPr>
                <w:rFonts w:hint="eastAsia" w:ascii="宋体" w:hAnsi="宋体"/>
                <w:b/>
                <w:color w:val="000000" w:themeColor="text1"/>
                <w:highlight w:val="none"/>
                <w14:textFill>
                  <w14:solidFill>
                    <w14:schemeClr w14:val="tx1"/>
                  </w14:solidFill>
                </w14:textFill>
              </w:rPr>
              <w:t>日</w:t>
            </w:r>
            <w:r>
              <w:rPr>
                <w:rFonts w:hint="eastAsia" w:ascii="宋体" w:hAnsi="宋体"/>
                <w:b/>
                <w:color w:val="000000" w:themeColor="text1"/>
                <w:highlight w:val="none"/>
                <w14:textFill>
                  <w14:solidFill>
                    <w14:schemeClr w14:val="tx1"/>
                  </w14:solidFill>
                </w14:textFill>
              </w:rPr>
              <w:t>前。</w:t>
            </w:r>
            <w:r>
              <w:rPr>
                <w:rFonts w:hint="eastAsia" w:ascii="宋体" w:hAnsi="宋体"/>
                <w:color w:val="000000" w:themeColor="text1"/>
                <w:highlight w:val="none"/>
                <w14:textFill>
                  <w14:solidFill>
                    <w14:schemeClr w14:val="tx1"/>
                  </w14:solidFill>
                </w14:textFill>
              </w:rPr>
              <w:t>比选申请人不在规定期限内提出，比选人有权不予答复，或答复后比选申请截止时间由比选人确定是否顺延。</w:t>
            </w:r>
          </w:p>
          <w:p>
            <w:pPr>
              <w:spacing w:before="0" w:after="0" w:afterAutospacing="0"/>
              <w:ind w:left="0" w:right="0" w:firstLine="0"/>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形式：书面为准（加盖比选申请人法人单位公章，电子扫描件有效）</w:t>
            </w:r>
          </w:p>
        </w:tc>
      </w:tr>
      <w:tr>
        <w:tblPrEx>
          <w:tblCellMar>
            <w:top w:w="0" w:type="dxa"/>
            <w:left w:w="108" w:type="dxa"/>
            <w:bottom w:w="0" w:type="dxa"/>
            <w:right w:w="108" w:type="dxa"/>
          </w:tblCellMar>
        </w:tblPrEx>
        <w:trPr>
          <w:trHeight w:val="241" w:hRule="atLeast"/>
        </w:trPr>
        <w:tc>
          <w:tcPr>
            <w:tcW w:w="847" w:type="dxa"/>
            <w:vMerge w:val="continue"/>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比选文件澄清发布方式</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kern w:val="2"/>
                <w:highlight w:val="none"/>
                <w:lang w:eastAsia="zh-CN"/>
                <w14:textFill>
                  <w14:solidFill>
                    <w14:schemeClr w14:val="tx1"/>
                  </w14:solidFill>
                </w14:textFill>
              </w:rPr>
              <w:t>南宁兴邕城市更新有限责任公司</w:t>
            </w:r>
            <w:r>
              <w:rPr>
                <w:rFonts w:hint="eastAsia" w:ascii="宋体" w:hAnsi="宋体"/>
                <w:color w:val="000000" w:themeColor="text1"/>
                <w:kern w:val="2"/>
                <w:highlight w:val="none"/>
                <w14:textFill>
                  <w14:solidFill>
                    <w14:schemeClr w14:val="tx1"/>
                  </w14:solidFill>
                </w14:textFill>
              </w:rPr>
              <w:t>官网(http://www.nngddc.com)发布</w:t>
            </w:r>
          </w:p>
        </w:tc>
      </w:tr>
      <w:tr>
        <w:tblPrEx>
          <w:tblCellMar>
            <w:top w:w="0" w:type="dxa"/>
            <w:left w:w="108" w:type="dxa"/>
            <w:bottom w:w="0" w:type="dxa"/>
            <w:right w:w="108" w:type="dxa"/>
          </w:tblCellMar>
        </w:tblPrEx>
        <w:trPr>
          <w:trHeight w:val="241" w:hRule="atLeast"/>
        </w:trPr>
        <w:tc>
          <w:tcPr>
            <w:tcW w:w="847" w:type="dxa"/>
            <w:vMerge w:val="continue"/>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比选申请人确认收到澄清的方式</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不需要确认。澄清文件在发布公告的网站上发布之日起，视为比选申请人已收到该澄清。比选申请人未及时关注比选人在网站上发布的澄清文件造成的损失，由比选申请人自行负责。</w:t>
            </w:r>
          </w:p>
        </w:tc>
      </w:tr>
      <w:tr>
        <w:tblPrEx>
          <w:tblCellMar>
            <w:top w:w="0" w:type="dxa"/>
            <w:left w:w="108" w:type="dxa"/>
            <w:bottom w:w="0" w:type="dxa"/>
            <w:right w:w="108" w:type="dxa"/>
          </w:tblCellMar>
        </w:tblPrEx>
        <w:trPr>
          <w:trHeight w:val="558"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10.1</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构成比选申请文件的组成</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比选申请文件组成部分：</w:t>
            </w:r>
            <w:r>
              <w:rPr>
                <w:rFonts w:hint="eastAsia"/>
                <w:color w:val="000000" w:themeColor="text1"/>
                <w:highlight w:val="none"/>
                <w14:textFill>
                  <w14:solidFill>
                    <w14:schemeClr w14:val="tx1"/>
                  </w14:solidFill>
                </w14:textFill>
              </w:rPr>
              <w:t>资格审查文件、价格文件、技术文件</w:t>
            </w:r>
          </w:p>
          <w:p>
            <w:pPr>
              <w:spacing w:before="0" w:after="0" w:afterAutospacing="0" w:line="276" w:lineRule="auto"/>
              <w:ind w:left="0" w:right="0" w:firstLine="0"/>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资格审查文件</w:t>
            </w:r>
          </w:p>
          <w:p>
            <w:pPr>
              <w:spacing w:before="0" w:after="0" w:afterAutospacing="0" w:line="276" w:lineRule="auto"/>
              <w:ind w:left="0" w:righ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1</w:t>
            </w:r>
            <w:r>
              <w:rPr>
                <w:rFonts w:hint="eastAsia"/>
                <w:color w:val="000000" w:themeColor="text1"/>
                <w:highlight w:val="none"/>
                <w14:textFill>
                  <w14:solidFill>
                    <w14:schemeClr w14:val="tx1"/>
                  </w14:solidFill>
                </w14:textFill>
              </w:rPr>
              <w:t>）法定代表人授权书（格式见A1）及法定代表人资格证明书（如无授权时，只需提供法定代表人资格证明书，格式见A2），法定代表人及被授权人身份证复印件；</w:t>
            </w:r>
          </w:p>
          <w:p>
            <w:pPr>
              <w:spacing w:before="0" w:after="0" w:afterAutospacing="0" w:line="276" w:lineRule="auto"/>
              <w:ind w:left="0" w:righ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2</w:t>
            </w:r>
            <w:r>
              <w:rPr>
                <w:rFonts w:hint="eastAsia"/>
                <w:color w:val="000000" w:themeColor="text1"/>
                <w:highlight w:val="none"/>
                <w14:textFill>
                  <w14:solidFill>
                    <w14:schemeClr w14:val="tx1"/>
                  </w14:solidFill>
                </w14:textFill>
              </w:rPr>
              <w:t>）比选申请人有效的营业执照及资质证书复印件；</w:t>
            </w:r>
          </w:p>
          <w:p>
            <w:pPr>
              <w:spacing w:before="0" w:after="0" w:afterAutospacing="0" w:line="276" w:lineRule="auto"/>
              <w:ind w:left="0" w:righ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3</w:t>
            </w:r>
            <w:r>
              <w:rPr>
                <w:rFonts w:hint="eastAsia"/>
                <w:color w:val="000000" w:themeColor="text1"/>
                <w:highlight w:val="none"/>
                <w14:textFill>
                  <w14:solidFill>
                    <w14:schemeClr w14:val="tx1"/>
                  </w14:solidFill>
                </w14:textFill>
              </w:rPr>
              <w:t>）承诺书（格式见A3）；</w:t>
            </w:r>
          </w:p>
          <w:p>
            <w:pPr>
              <w:spacing w:before="0" w:after="0" w:afterAutospacing="0" w:line="276" w:lineRule="auto"/>
              <w:ind w:left="0" w:righ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w:t>
            </w:r>
            <w:r>
              <w:rPr>
                <w:rFonts w:hint="eastAsia" w:hAnsi="宋体"/>
                <w:color w:val="000000" w:themeColor="text1"/>
                <w:highlight w:val="none"/>
                <w14:textFill>
                  <w14:solidFill>
                    <w14:schemeClr w14:val="tx1"/>
                  </w14:solidFill>
                </w14:textFill>
              </w:rPr>
              <w:t>类似项目业绩表（A4）；</w:t>
            </w:r>
          </w:p>
          <w:p>
            <w:pPr>
              <w:spacing w:before="0" w:after="0" w:afterAutospacing="0"/>
              <w:ind w:left="0" w:righ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（5）比选申请人认为应提交的其他比选申请资料（如有）。</w:t>
            </w:r>
          </w:p>
          <w:p>
            <w:pPr>
              <w:spacing w:before="0" w:after="0" w:afterAutospacing="0" w:line="276" w:lineRule="auto"/>
              <w:ind w:left="0" w:right="0" w:firstLine="0"/>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价格文件</w:t>
            </w:r>
          </w:p>
          <w:p>
            <w:pPr>
              <w:spacing w:before="0" w:after="0" w:afterAutospacing="0" w:line="276" w:lineRule="auto"/>
              <w:ind w:left="0" w:righ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1</w:t>
            </w:r>
            <w:r>
              <w:rPr>
                <w:rFonts w:hint="eastAsia"/>
                <w:color w:val="000000" w:themeColor="text1"/>
                <w:highlight w:val="none"/>
                <w14:textFill>
                  <w14:solidFill>
                    <w14:schemeClr w14:val="tx1"/>
                  </w14:solidFill>
                </w14:textFill>
              </w:rPr>
              <w:t>）比选申请报价一览表（格式见B1）；</w:t>
            </w:r>
          </w:p>
          <w:p>
            <w:pPr>
              <w:spacing w:before="0" w:after="0" w:afterAutospacing="0" w:line="276" w:lineRule="auto"/>
              <w:ind w:left="0" w:righ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2</w:t>
            </w:r>
            <w:r>
              <w:rPr>
                <w:rFonts w:hint="eastAsia"/>
                <w:color w:val="000000" w:themeColor="text1"/>
                <w:highlight w:val="none"/>
                <w14:textFill>
                  <w14:solidFill>
                    <w14:schemeClr w14:val="tx1"/>
                  </w14:solidFill>
                </w14:textFill>
              </w:rPr>
              <w:t>）比选申请函（格式见B2）；</w:t>
            </w:r>
          </w:p>
          <w:p>
            <w:pPr>
              <w:spacing w:before="0" w:after="0" w:afterAutospacing="0" w:line="276" w:lineRule="auto"/>
              <w:ind w:left="0" w:righ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（3）比选申请人认为应提交的其他比选申请资料（如有）。</w:t>
            </w:r>
          </w:p>
          <w:p>
            <w:pPr>
              <w:spacing w:before="0" w:after="0" w:afterAutospacing="0" w:line="276" w:lineRule="auto"/>
              <w:ind w:left="0" w:right="0" w:firstLine="0"/>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技术文件</w:t>
            </w:r>
          </w:p>
          <w:p>
            <w:pPr>
              <w:spacing w:before="0" w:after="0" w:afterAutospacing="0" w:line="276" w:lineRule="auto"/>
              <w:ind w:left="0" w:righ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（1）技术响应表（格式见C1）；</w:t>
            </w:r>
          </w:p>
          <w:p>
            <w:pPr>
              <w:spacing w:before="0" w:after="0" w:afterAutospacing="0" w:line="276" w:lineRule="auto"/>
              <w:ind w:left="0" w:righ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（2）商务响应表（格式见C2）；</w:t>
            </w:r>
          </w:p>
          <w:p>
            <w:pPr>
              <w:spacing w:before="0" w:after="0" w:afterAutospacing="0" w:line="276" w:lineRule="auto"/>
              <w:ind w:left="0" w:righ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（3）项目人员配置（格式见C3）</w:t>
            </w:r>
          </w:p>
          <w:p>
            <w:pPr>
              <w:spacing w:before="0" w:after="0" w:afterAutospacing="0" w:line="276" w:lineRule="auto"/>
              <w:ind w:left="0" w:righ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w:t>
            </w:r>
            <w:r>
              <w:rPr>
                <w:rFonts w:hint="eastAsia"/>
                <w:color w:val="000000" w:themeColor="text1"/>
                <w:highlight w:val="none"/>
                <w:lang w:eastAsia="zh-CN"/>
                <w14:textFill>
                  <w14:solidFill>
                    <w14:schemeClr w14:val="tx1"/>
                  </w14:solidFill>
                </w14:textFill>
              </w:rPr>
              <w:t>服务建议书</w:t>
            </w:r>
            <w:r>
              <w:rPr>
                <w:rFonts w:hint="eastAsia"/>
                <w:color w:val="000000" w:themeColor="text1"/>
                <w:highlight w:val="none"/>
                <w14:textFill>
                  <w14:solidFill>
                    <w14:schemeClr w14:val="tx1"/>
                  </w14:solidFill>
                </w14:textFill>
              </w:rPr>
              <w:t>（格式见C4）</w:t>
            </w:r>
          </w:p>
          <w:p>
            <w:pPr>
              <w:keepNext w:val="0"/>
              <w:keepLines w:val="0"/>
              <w:pageBreakBefore w:val="0"/>
              <w:widowControl/>
              <w:kinsoku/>
              <w:wordWrap/>
              <w:overflowPunct/>
              <w:topLinePunct w:val="0"/>
              <w:autoSpaceDE/>
              <w:autoSpaceDN/>
              <w:bidi w:val="0"/>
              <w:adjustRightInd/>
              <w:snapToGrid/>
              <w:spacing w:before="0" w:after="0" w:afterAutospacing="0"/>
              <w:ind w:left="0" w:right="0" w:firstLine="0"/>
              <w:textAlignment w:val="auto"/>
              <w:rPr>
                <w:rFonts w:hint="eastAsia" w:ascii="宋体" w:hAnsi="宋体" w:eastAsia="宋体"/>
                <w:color w:val="000000" w:themeColor="text1"/>
                <w:highlight w:val="none"/>
                <w:lang w:eastAsia="zh-CN"/>
                <w14:textFill>
                  <w14:solidFill>
                    <w14:schemeClr w14:val="tx1"/>
                  </w14:solidFill>
                </w14:textFill>
              </w:rPr>
            </w:pPr>
            <w:r>
              <w:rPr>
                <w:rFonts w:hint="eastAsia"/>
                <w:color w:val="000000" w:themeColor="text1"/>
                <w:highlight w:val="none"/>
                <w14:textFill>
                  <w14:solidFill>
                    <w14:schemeClr w14:val="tx1"/>
                  </w14:solidFill>
                </w14:textFill>
              </w:rPr>
              <w:t>（5）业绩：</w:t>
            </w:r>
            <w:r>
              <w:rPr>
                <w:rFonts w:hint="eastAsia" w:ascii="宋体" w:hAnsi="宋体"/>
                <w:color w:val="000000" w:themeColor="text1"/>
                <w:highlight w:val="none"/>
                <w:lang w:val="en-US" w:eastAsia="zh-CN"/>
                <w14:textFill>
                  <w14:solidFill>
                    <w14:schemeClr w14:val="tx1"/>
                  </w14:solidFill>
                </w14:textFill>
              </w:rPr>
              <w:t>比选申请人自2021年1月1日至比选申请截止时间前，承接过（完工/在建项目）1个及以上40万元（含）以上的市政工程设计项目。</w:t>
            </w:r>
          </w:p>
          <w:p>
            <w:pPr>
              <w:spacing w:before="0" w:after="0" w:afterAutospacing="0" w:line="276" w:lineRule="auto"/>
              <w:ind w:left="0" w:righ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提供下述材料之一即可：①合同文件；②中标通知书。所提供的材料须能明确反映类似项目特征，复印件加盖比选申请人公章（格式见C5）。</w:t>
            </w:r>
          </w:p>
          <w:p>
            <w:pPr>
              <w:spacing w:before="0" w:after="0" w:afterAutospacing="0" w:line="276" w:lineRule="auto"/>
              <w:ind w:left="0" w:righ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（6）比选申请人认为应提交的其他比选申请资料（如有）。</w:t>
            </w:r>
          </w:p>
        </w:tc>
      </w:tr>
      <w:tr>
        <w:tblPrEx>
          <w:tblCellMar>
            <w:top w:w="0" w:type="dxa"/>
            <w:left w:w="108" w:type="dxa"/>
            <w:bottom w:w="0" w:type="dxa"/>
            <w:right w:w="108" w:type="dxa"/>
          </w:tblCellMar>
        </w:tblPrEx>
        <w:trPr>
          <w:trHeight w:val="540"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12.1</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比选申请报价</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本项目采用不含税报价进行商务评审</w:t>
            </w:r>
            <w:r>
              <w:rPr>
                <w:rFonts w:ascii="宋体" w:hAnsi="宋体"/>
                <w:b/>
                <w:color w:val="000000" w:themeColor="text1"/>
                <w:highlight w:val="none"/>
                <w14:textFill>
                  <w14:solidFill>
                    <w14:schemeClr w14:val="tx1"/>
                  </w14:solidFill>
                </w14:textFill>
              </w:rPr>
              <w:t>，</w:t>
            </w:r>
            <w:r>
              <w:rPr>
                <w:rFonts w:hint="eastAsia" w:ascii="宋体" w:hAnsi="宋体"/>
                <w:b/>
                <w:color w:val="000000" w:themeColor="text1"/>
                <w:highlight w:val="none"/>
                <w14:textFill>
                  <w14:solidFill>
                    <w14:schemeClr w14:val="tx1"/>
                  </w14:solidFill>
                </w14:textFill>
              </w:rPr>
              <w:t>含税报价为合同暂定价，本合同最终税金在结算阶段，按实际产生的税金进行核算，但合同不含税价格不因国家税率调整而调整。</w:t>
            </w:r>
          </w:p>
        </w:tc>
      </w:tr>
      <w:tr>
        <w:tblPrEx>
          <w:tblCellMar>
            <w:top w:w="0" w:type="dxa"/>
            <w:left w:w="108" w:type="dxa"/>
            <w:bottom w:w="0" w:type="dxa"/>
            <w:right w:w="108" w:type="dxa"/>
          </w:tblCellMar>
        </w:tblPrEx>
        <w:trPr>
          <w:trHeight w:val="702"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14.1</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比选申请保证金</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不要求递交比选申请保证金</w:t>
            </w:r>
          </w:p>
        </w:tc>
      </w:tr>
      <w:tr>
        <w:tblPrEx>
          <w:tblCellMar>
            <w:top w:w="0" w:type="dxa"/>
            <w:left w:w="108" w:type="dxa"/>
            <w:bottom w:w="0" w:type="dxa"/>
            <w:right w:w="108" w:type="dxa"/>
          </w:tblCellMar>
        </w:tblPrEx>
        <w:trPr>
          <w:trHeight w:val="551" w:hRule="atLeast"/>
        </w:trPr>
        <w:tc>
          <w:tcPr>
            <w:tcW w:w="847" w:type="dxa"/>
            <w:tcBorders>
              <w:top w:val="single" w:color="auto" w:sz="4" w:space="0"/>
              <w:left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15.1</w:t>
            </w:r>
          </w:p>
        </w:tc>
        <w:tc>
          <w:tcPr>
            <w:tcW w:w="1559" w:type="dxa"/>
            <w:tcBorders>
              <w:top w:val="single" w:color="auto" w:sz="4" w:space="0"/>
              <w:left w:val="nil"/>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比选申请有效期</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自比选申请截止时间起90天</w:t>
            </w:r>
          </w:p>
        </w:tc>
      </w:tr>
      <w:tr>
        <w:tblPrEx>
          <w:tblCellMar>
            <w:top w:w="0" w:type="dxa"/>
            <w:left w:w="108" w:type="dxa"/>
            <w:bottom w:w="0" w:type="dxa"/>
            <w:right w:w="108" w:type="dxa"/>
          </w:tblCellMar>
        </w:tblPrEx>
        <w:trPr>
          <w:trHeight w:val="241"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16.1</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比选申请文件副本份数</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纸质版正本1份，副本</w:t>
            </w:r>
            <w:r>
              <w:rPr>
                <w:rFonts w:hint="eastAsia" w:ascii="宋体" w:hAnsi="宋体"/>
                <w:color w:val="000000" w:themeColor="text1"/>
                <w:highlight w:val="none"/>
                <w:lang w:val="en-US" w:eastAsia="zh-CN"/>
                <w14:textFill>
                  <w14:solidFill>
                    <w14:schemeClr w14:val="tx1"/>
                  </w14:solidFill>
                </w14:textFill>
              </w:rPr>
              <w:t>4</w:t>
            </w:r>
            <w:r>
              <w:rPr>
                <w:rFonts w:hint="eastAsia" w:ascii="宋体" w:hAnsi="宋体"/>
                <w:color w:val="000000" w:themeColor="text1"/>
                <w:highlight w:val="none"/>
                <w14:textFill>
                  <w14:solidFill>
                    <w14:schemeClr w14:val="tx1"/>
                  </w14:solidFill>
                </w14:textFill>
              </w:rPr>
              <w:t>份。比选申请人在递交纸质比选申请文件时，应同时递交比选申请文件电子版（具体要求见本表第3</w:t>
            </w:r>
            <w:r>
              <w:rPr>
                <w:rFonts w:ascii="宋体" w:hAnsi="宋体"/>
                <w:color w:val="000000" w:themeColor="text1"/>
                <w:highlight w:val="none"/>
                <w14:textFill>
                  <w14:solidFill>
                    <w14:schemeClr w14:val="tx1"/>
                  </w14:solidFill>
                </w14:textFill>
              </w:rPr>
              <w:t>7</w:t>
            </w:r>
            <w:r>
              <w:rPr>
                <w:rFonts w:hint="eastAsia" w:ascii="宋体" w:hAnsi="宋体"/>
                <w:color w:val="000000" w:themeColor="text1"/>
                <w:highlight w:val="none"/>
                <w14:textFill>
                  <w14:solidFill>
                    <w14:schemeClr w14:val="tx1"/>
                  </w14:solidFill>
                </w14:textFill>
              </w:rPr>
              <w:t>.</w:t>
            </w:r>
            <w:r>
              <w:rPr>
                <w:rFonts w:ascii="宋体" w:hAnsi="宋体"/>
                <w:color w:val="000000" w:themeColor="text1"/>
                <w:highlight w:val="none"/>
                <w14:textFill>
                  <w14:solidFill>
                    <w14:schemeClr w14:val="tx1"/>
                  </w14:solidFill>
                </w14:textFill>
              </w:rPr>
              <w:t>5</w:t>
            </w:r>
            <w:r>
              <w:rPr>
                <w:rFonts w:hint="eastAsia" w:ascii="宋体" w:hAnsi="宋体"/>
                <w:color w:val="000000" w:themeColor="text1"/>
                <w:highlight w:val="none"/>
                <w14:textFill>
                  <w14:solidFill>
                    <w14:schemeClr w14:val="tx1"/>
                  </w14:solidFill>
                </w14:textFill>
              </w:rPr>
              <w:t>项）。</w:t>
            </w:r>
          </w:p>
        </w:tc>
      </w:tr>
      <w:tr>
        <w:tblPrEx>
          <w:tblCellMar>
            <w:top w:w="0" w:type="dxa"/>
            <w:left w:w="108" w:type="dxa"/>
            <w:bottom w:w="0" w:type="dxa"/>
            <w:right w:w="108" w:type="dxa"/>
          </w:tblCellMar>
        </w:tblPrEx>
        <w:trPr>
          <w:trHeight w:val="140" w:hRule="atLeast"/>
        </w:trPr>
        <w:tc>
          <w:tcPr>
            <w:tcW w:w="847" w:type="dxa"/>
            <w:vMerge w:val="restart"/>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28.1</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比选申请截止时间</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hint="default" w:ascii="宋体" w:hAnsi="宋体" w:eastAsia="宋体"/>
                <w:b/>
                <w:color w:val="000000" w:themeColor="text1"/>
                <w:highlight w:val="none"/>
                <w:lang w:val="en-US" w:eastAsia="zh-CN"/>
                <w14:textFill>
                  <w14:solidFill>
                    <w14:schemeClr w14:val="tx1"/>
                  </w14:solidFill>
                </w14:textFill>
              </w:rPr>
            </w:pPr>
            <w:bookmarkStart w:id="41" w:name="CgwjmbEntity：KBSJ3_0"/>
            <w:r>
              <w:rPr>
                <w:rFonts w:hint="eastAsia" w:ascii="宋体" w:hAnsi="宋体"/>
                <w:b/>
                <w:color w:val="000000" w:themeColor="text1"/>
                <w:highlight w:val="none"/>
                <w14:textFill>
                  <w14:solidFill>
                    <w14:schemeClr w14:val="tx1"/>
                  </w14:solidFill>
                </w14:textFill>
              </w:rPr>
              <w:t>202</w:t>
            </w:r>
            <w:r>
              <w:rPr>
                <w:rFonts w:hint="eastAsia" w:ascii="宋体" w:hAnsi="宋体"/>
                <w:b/>
                <w:color w:val="000000" w:themeColor="text1"/>
                <w:highlight w:val="none"/>
                <w:lang w:val="en-US" w:eastAsia="zh-CN"/>
                <w14:textFill>
                  <w14:solidFill>
                    <w14:schemeClr w14:val="tx1"/>
                  </w14:solidFill>
                </w14:textFill>
              </w:rPr>
              <w:t xml:space="preserve">4 </w:t>
            </w:r>
            <w:r>
              <w:rPr>
                <w:rFonts w:hint="eastAsia" w:ascii="宋体" w:hAnsi="宋体"/>
                <w:b/>
                <w:color w:val="000000" w:themeColor="text1"/>
                <w:highlight w:val="none"/>
                <w14:textFill>
                  <w14:solidFill>
                    <w14:schemeClr w14:val="tx1"/>
                  </w14:solidFill>
                </w14:textFill>
              </w:rPr>
              <w:t>年</w:t>
            </w:r>
            <w:bookmarkEnd w:id="41"/>
            <w:r>
              <w:rPr>
                <w:rFonts w:hint="eastAsia" w:ascii="宋体" w:hAnsi="宋体"/>
                <w:b/>
                <w:color w:val="000000" w:themeColor="text1"/>
                <w:highlight w:val="none"/>
                <w:lang w:val="en-US" w:eastAsia="zh-CN"/>
                <w14:textFill>
                  <w14:solidFill>
                    <w14:schemeClr w14:val="tx1"/>
                  </w14:solidFill>
                </w14:textFill>
              </w:rPr>
              <w:t>6</w:t>
            </w:r>
            <w:r>
              <w:rPr>
                <w:rFonts w:hint="eastAsia" w:ascii="宋体" w:hAnsi="宋体"/>
                <w:b/>
                <w:color w:val="000000" w:themeColor="text1"/>
                <w:highlight w:val="none"/>
                <w14:textFill>
                  <w14:solidFill>
                    <w14:schemeClr w14:val="tx1"/>
                  </w14:solidFill>
                </w14:textFill>
              </w:rPr>
              <w:t>月</w:t>
            </w:r>
            <w:r>
              <w:rPr>
                <w:rFonts w:hint="eastAsia" w:ascii="宋体" w:hAnsi="宋体"/>
                <w:b/>
                <w:color w:val="000000" w:themeColor="text1"/>
                <w:highlight w:val="none"/>
                <w:lang w:val="en-US" w:eastAsia="zh-CN"/>
                <w14:textFill>
                  <w14:solidFill>
                    <w14:schemeClr w14:val="tx1"/>
                  </w14:solidFill>
                </w14:textFill>
              </w:rPr>
              <w:t>19</w:t>
            </w:r>
            <w:r>
              <w:rPr>
                <w:rFonts w:hint="eastAsia" w:ascii="宋体" w:hAnsi="宋体"/>
                <w:b/>
                <w:color w:val="000000" w:themeColor="text1"/>
                <w:highlight w:val="none"/>
                <w14:textFill>
                  <w14:solidFill>
                    <w14:schemeClr w14:val="tx1"/>
                  </w14:solidFill>
                </w14:textFill>
              </w:rPr>
              <w:t>日</w:t>
            </w:r>
            <w:r>
              <w:rPr>
                <w:rFonts w:hint="eastAsia" w:ascii="宋体" w:hAnsi="宋体"/>
                <w:b/>
                <w:color w:val="000000" w:themeColor="text1"/>
                <w:highlight w:val="none"/>
                <w:lang w:val="en-US" w:eastAsia="zh-CN"/>
                <w14:textFill>
                  <w14:solidFill>
                    <w14:schemeClr w14:val="tx1"/>
                  </w14:solidFill>
                </w14:textFill>
              </w:rPr>
              <w:t>9</w:t>
            </w:r>
            <w:r>
              <w:rPr>
                <w:rFonts w:hint="eastAsia" w:ascii="宋体" w:hAnsi="宋体"/>
                <w:b/>
                <w:color w:val="000000" w:themeColor="text1"/>
                <w:highlight w:val="none"/>
                <w14:textFill>
                  <w14:solidFill>
                    <w14:schemeClr w14:val="tx1"/>
                  </w14:solidFill>
                </w14:textFill>
              </w:rPr>
              <w:t>时30分</w:t>
            </w:r>
          </w:p>
        </w:tc>
      </w:tr>
      <w:tr>
        <w:tblPrEx>
          <w:tblCellMar>
            <w:top w:w="0" w:type="dxa"/>
            <w:left w:w="108" w:type="dxa"/>
            <w:bottom w:w="0" w:type="dxa"/>
            <w:right w:w="108" w:type="dxa"/>
          </w:tblCellMar>
        </w:tblPrEx>
        <w:trPr>
          <w:trHeight w:val="797" w:hRule="atLeast"/>
        </w:trPr>
        <w:tc>
          <w:tcPr>
            <w:tcW w:w="847" w:type="dxa"/>
            <w:vMerge w:val="continue"/>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递交比选申请文件地点</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单位：</w:t>
            </w:r>
            <w:r>
              <w:rPr>
                <w:rFonts w:hint="eastAsia" w:ascii="宋体" w:hAnsi="宋体"/>
                <w:color w:val="000000" w:themeColor="text1"/>
                <w:highlight w:val="none"/>
                <w:lang w:eastAsia="zh-CN"/>
                <w14:textFill>
                  <w14:solidFill>
                    <w14:schemeClr w14:val="tx1"/>
                  </w14:solidFill>
                </w14:textFill>
              </w:rPr>
              <w:t>南宁兴邕城市更新有限责任公司</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地址：</w:t>
            </w:r>
            <w:r>
              <w:rPr>
                <w:rFonts w:ascii="宋体" w:hAnsi="宋体"/>
                <w:color w:val="000000" w:themeColor="text1"/>
                <w:highlight w:val="none"/>
                <w14:textFill>
                  <w14:solidFill>
                    <w14:schemeClr w14:val="tx1"/>
                  </w14:solidFill>
                </w14:textFill>
              </w:rPr>
              <w:t>南宁市青秀区</w:t>
            </w:r>
            <w:r>
              <w:rPr>
                <w:rFonts w:hint="eastAsia" w:ascii="宋体" w:hAnsi="宋体"/>
                <w:color w:val="000000" w:themeColor="text1"/>
                <w:highlight w:val="none"/>
                <w14:textFill>
                  <w14:solidFill>
                    <w14:schemeClr w14:val="tx1"/>
                  </w14:solidFill>
                </w14:textFill>
              </w:rPr>
              <w:t>凤岭北路111号南宁国际旅游中心A座1011招采管理中心</w:t>
            </w:r>
          </w:p>
        </w:tc>
      </w:tr>
      <w:tr>
        <w:tblPrEx>
          <w:tblCellMar>
            <w:top w:w="0" w:type="dxa"/>
            <w:left w:w="108" w:type="dxa"/>
            <w:bottom w:w="0" w:type="dxa"/>
            <w:right w:w="108" w:type="dxa"/>
          </w:tblCellMar>
        </w:tblPrEx>
        <w:trPr>
          <w:trHeight w:val="242"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22</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评审方法</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综合评分法</w:t>
            </w:r>
            <w:r>
              <w:rPr>
                <w:rFonts w:ascii="宋体" w:hAnsi="宋体"/>
                <w:color w:val="000000" w:themeColor="text1"/>
                <w:highlight w:val="none"/>
                <w14:textFill>
                  <w14:solidFill>
                    <w14:schemeClr w14:val="tx1"/>
                  </w14:solidFill>
                </w14:textFill>
              </w:rPr>
              <w:t>（评审价以</w:t>
            </w:r>
            <w:r>
              <w:rPr>
                <w:rFonts w:hint="eastAsia" w:ascii="宋体" w:hAnsi="宋体"/>
                <w:color w:val="000000" w:themeColor="text1"/>
                <w:highlight w:val="none"/>
                <w14:textFill>
                  <w14:solidFill>
                    <w14:schemeClr w14:val="tx1"/>
                  </w14:solidFill>
                </w14:textFill>
              </w:rPr>
              <w:t>不</w:t>
            </w:r>
            <w:r>
              <w:rPr>
                <w:rFonts w:ascii="宋体" w:hAnsi="宋体"/>
                <w:color w:val="000000" w:themeColor="text1"/>
                <w:highlight w:val="none"/>
                <w14:textFill>
                  <w14:solidFill>
                    <w14:schemeClr w14:val="tx1"/>
                  </w14:solidFill>
                </w14:textFill>
              </w:rPr>
              <w:t>含税总报价为基准）</w:t>
            </w:r>
          </w:p>
        </w:tc>
      </w:tr>
      <w:tr>
        <w:tblPrEx>
          <w:tblCellMar>
            <w:top w:w="0" w:type="dxa"/>
            <w:left w:w="108" w:type="dxa"/>
            <w:bottom w:w="0" w:type="dxa"/>
            <w:right w:w="108" w:type="dxa"/>
          </w:tblCellMar>
        </w:tblPrEx>
        <w:trPr>
          <w:trHeight w:val="242"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34.4</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放弃中选人资格</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中选人如放弃中选资格，比选人有权禁止其1年内不得参与属于比选人的项目。</w:t>
            </w:r>
          </w:p>
        </w:tc>
      </w:tr>
      <w:tr>
        <w:tblPrEx>
          <w:tblCellMar>
            <w:top w:w="0" w:type="dxa"/>
            <w:left w:w="108" w:type="dxa"/>
            <w:bottom w:w="0" w:type="dxa"/>
            <w:right w:w="108" w:type="dxa"/>
          </w:tblCellMar>
        </w:tblPrEx>
        <w:trPr>
          <w:trHeight w:val="877"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36.1</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履约担保</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本项目不要求递交履约担保。</w:t>
            </w:r>
          </w:p>
        </w:tc>
      </w:tr>
      <w:tr>
        <w:tblPrEx>
          <w:tblCellMar>
            <w:top w:w="0" w:type="dxa"/>
            <w:left w:w="108" w:type="dxa"/>
            <w:bottom w:w="0" w:type="dxa"/>
            <w:right w:w="108" w:type="dxa"/>
          </w:tblCellMar>
        </w:tblPrEx>
        <w:trPr>
          <w:trHeight w:val="242" w:hRule="atLeast"/>
        </w:trPr>
        <w:tc>
          <w:tcPr>
            <w:tcW w:w="847" w:type="dxa"/>
            <w:vMerge w:val="restart"/>
            <w:tcBorders>
              <w:top w:val="single" w:color="auto" w:sz="4" w:space="0"/>
              <w:left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37.5</w:t>
            </w:r>
          </w:p>
        </w:tc>
        <w:tc>
          <w:tcPr>
            <w:tcW w:w="1559" w:type="dxa"/>
            <w:vMerge w:val="restart"/>
            <w:tcBorders>
              <w:top w:val="single" w:color="auto" w:sz="4" w:space="0"/>
              <w:left w:val="nil"/>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需要补充的其他内容</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1.比选申请人在递交纸质版比选申请文件时，应同时递交比选申请文件电子版。</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2.比选申请文件电子版内容：</w:t>
            </w:r>
            <w:r>
              <w:rPr>
                <w:rFonts w:hint="eastAsia" w:ascii="宋体" w:hAnsi="宋体" w:cs="Arial"/>
                <w:color w:val="000000" w:themeColor="text1"/>
                <w:highlight w:val="none"/>
                <w14:textFill>
                  <w14:solidFill>
                    <w14:schemeClr w14:val="tx1"/>
                  </w14:solidFill>
                </w14:textFill>
              </w:rPr>
              <w:t>资格审查文件、价格文件和技术文件</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3.</w:t>
            </w:r>
            <w:r>
              <w:rPr>
                <w:rFonts w:hint="eastAsia" w:ascii="宋体" w:hAnsi="宋体"/>
                <w:color w:val="000000" w:themeColor="text1"/>
                <w:highlight w:val="none"/>
                <w14:textFill>
                  <w14:solidFill>
                    <w14:schemeClr w14:val="tx1"/>
                  </w14:solidFill>
                </w14:textFill>
              </w:rPr>
              <w:t>比选申请文件电子版份数：1份。</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4.比选申请文件电子版形式：每份包括office版本或WPS版本的全套比选申请文件(资格审查文件、价格文件和技术文件)和盖章后的全套比选申请文件(资格审查文件、价格文件和技术文件)正本的PDF版本扫描件。保存介质：U盘。</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5</w:t>
            </w:r>
            <w:r>
              <w:rPr>
                <w:rFonts w:hint="eastAsia" w:ascii="宋体" w:hAnsi="宋体"/>
                <w:color w:val="000000" w:themeColor="text1"/>
                <w:highlight w:val="none"/>
                <w14:textFill>
                  <w14:solidFill>
                    <w14:schemeClr w14:val="tx1"/>
                  </w14:solidFill>
                </w14:textFill>
              </w:rPr>
              <w:t>.</w:t>
            </w:r>
            <w:r>
              <w:rPr>
                <w:rFonts w:ascii="宋体" w:hAnsi="宋体"/>
                <w:color w:val="000000" w:themeColor="text1"/>
                <w:highlight w:val="none"/>
                <w14:textFill>
                  <w14:solidFill>
                    <w14:schemeClr w14:val="tx1"/>
                  </w14:solidFill>
                </w14:textFill>
              </w:rPr>
              <w:t>比选申请文件电子版密封方式：比选申请文件电子版与纸质版比选申请文件一并装入比选申请文件袋中。</w:t>
            </w:r>
          </w:p>
        </w:tc>
      </w:tr>
      <w:tr>
        <w:tblPrEx>
          <w:tblCellMar>
            <w:top w:w="0" w:type="dxa"/>
            <w:left w:w="108" w:type="dxa"/>
            <w:bottom w:w="0" w:type="dxa"/>
            <w:right w:w="108" w:type="dxa"/>
          </w:tblCellMar>
        </w:tblPrEx>
        <w:trPr>
          <w:trHeight w:val="242" w:hRule="atLeast"/>
        </w:trPr>
        <w:tc>
          <w:tcPr>
            <w:tcW w:w="847" w:type="dxa"/>
            <w:vMerge w:val="continue"/>
            <w:tcBorders>
              <w:left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p>
        </w:tc>
        <w:tc>
          <w:tcPr>
            <w:tcW w:w="1559" w:type="dxa"/>
            <w:vMerge w:val="continue"/>
            <w:tcBorders>
              <w:left w:val="nil"/>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1.本比选文件中描述比选申请人的</w:t>
            </w:r>
            <w:r>
              <w:rPr>
                <w:rFonts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公章</w:t>
            </w:r>
            <w:r>
              <w:rPr>
                <w:rFonts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是指根据我国对公章的管理规定，用比选申请人法定主体行为名称制作的印章，除本比选文件有特殊规定外，比选申请人的财务章、部门章、分公司章、工会章、合同章、比选申请专用章、业务专用章等其它形式印章均不能代替公章。</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2.本比选文件中描述比选申请人的</w:t>
            </w:r>
            <w:r>
              <w:rPr>
                <w:rFonts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签字</w:t>
            </w:r>
            <w:r>
              <w:rPr>
                <w:rFonts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是指比选申请人的法定代表人或被授权人亲自在比选文件规定签署处亲笔写上个人的名字的行为，私章、签字章、印鉴、影印等其它形式均不能代替亲笔签字。</w:t>
            </w:r>
          </w:p>
        </w:tc>
      </w:tr>
      <w:tr>
        <w:tblPrEx>
          <w:tblCellMar>
            <w:top w:w="0" w:type="dxa"/>
            <w:left w:w="108" w:type="dxa"/>
            <w:bottom w:w="0" w:type="dxa"/>
            <w:right w:w="108" w:type="dxa"/>
          </w:tblCellMar>
        </w:tblPrEx>
        <w:trPr>
          <w:trHeight w:val="242" w:hRule="atLeast"/>
        </w:trPr>
        <w:tc>
          <w:tcPr>
            <w:tcW w:w="847" w:type="dxa"/>
            <w:vMerge w:val="continue"/>
            <w:tcBorders>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p>
        </w:tc>
        <w:tc>
          <w:tcPr>
            <w:tcW w:w="1559" w:type="dxa"/>
            <w:vMerge w:val="continue"/>
            <w:tcBorders>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1.本项目比选文件的最终解释权归比选人。</w:t>
            </w:r>
          </w:p>
        </w:tc>
      </w:tr>
    </w:tbl>
    <w:p>
      <w:pPr>
        <w:pStyle w:val="3"/>
        <w:spacing w:after="0" w:afterAutospacing="0" w:line="360" w:lineRule="auto"/>
        <w:ind w:left="484" w:leftChars="200" w:right="0" w:hanging="64" w:hangingChars="20"/>
        <w:rPr>
          <w:rFonts w:ascii="宋体" w:hAnsi="宋体" w:eastAsia="宋体"/>
          <w:color w:val="000000" w:themeColor="text1"/>
          <w:sz w:val="24"/>
          <w:szCs w:val="24"/>
          <w:highlight w:val="none"/>
          <w14:textFill>
            <w14:solidFill>
              <w14:schemeClr w14:val="tx1"/>
            </w14:solidFill>
          </w14:textFill>
        </w:rPr>
      </w:pPr>
      <w:r>
        <w:rPr>
          <w:rFonts w:ascii="宋体" w:hAnsi="宋体" w:eastAsia="宋体"/>
          <w:color w:val="000000" w:themeColor="text1"/>
          <w:highlight w:val="none"/>
          <w14:textFill>
            <w14:solidFill>
              <w14:schemeClr w14:val="tx1"/>
            </w14:solidFill>
          </w14:textFill>
        </w:rPr>
        <w:br w:type="page"/>
      </w:r>
      <w:bookmarkStart w:id="42" w:name="_Toc322528193"/>
      <w:bookmarkEnd w:id="42"/>
      <w:bookmarkStart w:id="43" w:name="_Toc15365"/>
      <w:bookmarkStart w:id="44" w:name="_Toc114134607"/>
      <w:bookmarkStart w:id="45" w:name="_Toc7891"/>
      <w:r>
        <w:rPr>
          <w:rFonts w:hint="eastAsia" w:ascii="宋体" w:hAnsi="宋体" w:eastAsia="宋体"/>
          <w:color w:val="000000" w:themeColor="text1"/>
          <w:sz w:val="24"/>
          <w:szCs w:val="24"/>
          <w:highlight w:val="none"/>
          <w14:textFill>
            <w14:solidFill>
              <w14:schemeClr w14:val="tx1"/>
            </w14:solidFill>
          </w14:textFill>
        </w:rPr>
        <w:t>一、</w:t>
      </w:r>
      <w:r>
        <w:rPr>
          <w:rFonts w:ascii="宋体" w:hAnsi="宋体" w:eastAsia="宋体"/>
          <w:color w:val="000000" w:themeColor="text1"/>
          <w:sz w:val="24"/>
          <w:szCs w:val="24"/>
          <w:highlight w:val="none"/>
          <w14:textFill>
            <w14:solidFill>
              <w14:schemeClr w14:val="tx1"/>
            </w14:solidFill>
          </w14:textFill>
        </w:rPr>
        <w:t>说明</w:t>
      </w:r>
      <w:bookmarkEnd w:id="43"/>
      <w:bookmarkEnd w:id="44"/>
      <w:bookmarkEnd w:id="45"/>
    </w:p>
    <w:p>
      <w:pPr>
        <w:pStyle w:val="4"/>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46" w:name="_Toc385427793"/>
      <w:bookmarkStart w:id="47" w:name="_Toc463"/>
      <w:bookmarkStart w:id="48" w:name="_Toc12526"/>
      <w:bookmarkStart w:id="49" w:name="_Toc5495"/>
      <w:bookmarkStart w:id="50" w:name="_Toc8166"/>
      <w:bookmarkStart w:id="51" w:name="_Toc14066"/>
      <w:bookmarkStart w:id="52" w:name="_Toc492478718"/>
      <w:bookmarkStart w:id="53" w:name="_Toc9366"/>
      <w:bookmarkStart w:id="54" w:name="_Toc25750591"/>
      <w:bookmarkStart w:id="55" w:name="_Toc7778"/>
      <w:bookmarkStart w:id="56" w:name="_Toc30570"/>
      <w:bookmarkStart w:id="57" w:name="_Toc27079"/>
      <w:bookmarkStart w:id="58" w:name="_Toc19983"/>
      <w:bookmarkStart w:id="59" w:name="_Toc13523"/>
      <w:bookmarkStart w:id="60" w:name="_Toc114134608"/>
      <w:bookmarkStart w:id="61" w:name="_Toc375039064"/>
      <w:bookmarkStart w:id="62" w:name="_Toc3804"/>
      <w:bookmarkStart w:id="63" w:name="_Toc12983505"/>
      <w:bookmarkStart w:id="64" w:name="_Toc28326"/>
      <w:bookmarkStart w:id="65" w:name="_Toc31563"/>
      <w:bookmarkStart w:id="66" w:name="_Toc17845"/>
      <w:bookmarkStart w:id="67" w:name="_Toc6861"/>
      <w:bookmarkStart w:id="68" w:name="_Toc11224"/>
      <w:bookmarkStart w:id="69" w:name="_Toc390098419"/>
      <w:bookmarkStart w:id="70" w:name="_Toc21139"/>
      <w:bookmarkStart w:id="71" w:name="_Toc3364"/>
      <w:bookmarkStart w:id="72" w:name="_Toc383891168"/>
      <w:r>
        <w:rPr>
          <w:rFonts w:hint="eastAsia" w:ascii="宋体" w:hAnsi="宋体"/>
          <w:color w:val="000000" w:themeColor="text1"/>
          <w:sz w:val="21"/>
          <w:szCs w:val="21"/>
          <w:highlight w:val="none"/>
          <w14:textFill>
            <w14:solidFill>
              <w14:schemeClr w14:val="tx1"/>
            </w14:solidFill>
          </w14:textFill>
        </w:rPr>
        <w:t xml:space="preserve">1. </w:t>
      </w:r>
      <w:r>
        <w:rPr>
          <w:rFonts w:ascii="宋体" w:hAnsi="宋体"/>
          <w:color w:val="000000" w:themeColor="text1"/>
          <w:sz w:val="21"/>
          <w:szCs w:val="21"/>
          <w:highlight w:val="none"/>
          <w14:textFill>
            <w14:solidFill>
              <w14:schemeClr w14:val="tx1"/>
            </w14:solidFill>
          </w14:textFill>
        </w:rPr>
        <w:t>项目说明</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1.1 比选人</w:t>
      </w:r>
      <w:r>
        <w:rPr>
          <w:rFonts w:ascii="宋体" w:hAnsi="宋体"/>
          <w:color w:val="000000" w:themeColor="text1"/>
          <w:highlight w:val="none"/>
          <w14:textFill>
            <w14:solidFill>
              <w14:schemeClr w14:val="tx1"/>
            </w14:solidFill>
          </w14:textFill>
        </w:rPr>
        <w:t>：详见比选申请须知前附表。</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1.2 项目名称</w:t>
      </w:r>
      <w:r>
        <w:rPr>
          <w:rFonts w:ascii="宋体" w:hAnsi="宋体"/>
          <w:color w:val="000000" w:themeColor="text1"/>
          <w:highlight w:val="none"/>
          <w14:textFill>
            <w14:solidFill>
              <w14:schemeClr w14:val="tx1"/>
            </w14:solidFill>
          </w14:textFill>
        </w:rPr>
        <w:t>：详见比选申请须知前附表。</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1.3 项目编号</w:t>
      </w:r>
      <w:r>
        <w:rPr>
          <w:rFonts w:ascii="宋体" w:hAnsi="宋体"/>
          <w:color w:val="000000" w:themeColor="text1"/>
          <w:highlight w:val="none"/>
          <w14:textFill>
            <w14:solidFill>
              <w14:schemeClr w14:val="tx1"/>
            </w14:solidFill>
          </w14:textFill>
        </w:rPr>
        <w:t>：详见比选申请须知前附表。</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1.4比选范围：</w:t>
      </w:r>
      <w:r>
        <w:rPr>
          <w:rFonts w:ascii="宋体" w:hAnsi="宋体"/>
          <w:color w:val="000000" w:themeColor="text1"/>
          <w:highlight w:val="none"/>
          <w14:textFill>
            <w14:solidFill>
              <w14:schemeClr w14:val="tx1"/>
            </w14:solidFill>
          </w14:textFill>
        </w:rPr>
        <w:t>详见比选申请须知前附表。</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1.5合同期：</w:t>
      </w:r>
      <w:r>
        <w:rPr>
          <w:rFonts w:ascii="宋体" w:hAnsi="宋体"/>
          <w:color w:val="000000" w:themeColor="text1"/>
          <w:highlight w:val="none"/>
          <w14:textFill>
            <w14:solidFill>
              <w14:schemeClr w14:val="tx1"/>
            </w14:solidFill>
          </w14:textFill>
        </w:rPr>
        <w:t>详见比选申请须知前附表。</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1.6 资金来源情况：</w:t>
      </w:r>
      <w:r>
        <w:rPr>
          <w:rFonts w:ascii="宋体" w:hAnsi="宋体"/>
          <w:color w:val="000000" w:themeColor="text1"/>
          <w:highlight w:val="none"/>
          <w14:textFill>
            <w14:solidFill>
              <w14:schemeClr w14:val="tx1"/>
            </w14:solidFill>
          </w14:textFill>
        </w:rPr>
        <w:t>详见比选申请须知前附表。</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1.7上限控制价</w:t>
      </w:r>
      <w:r>
        <w:rPr>
          <w:rFonts w:ascii="宋体" w:hAnsi="宋体"/>
          <w:color w:val="000000" w:themeColor="text1"/>
          <w:highlight w:val="none"/>
          <w14:textFill>
            <w14:solidFill>
              <w14:schemeClr w14:val="tx1"/>
            </w14:solidFill>
          </w14:textFill>
        </w:rPr>
        <w:t>：详见比选申请须知前附表。</w:t>
      </w:r>
    </w:p>
    <w:p>
      <w:pPr>
        <w:pStyle w:val="4"/>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73" w:name="_Toc383891169"/>
      <w:bookmarkStart w:id="74" w:name="_Toc13712"/>
      <w:bookmarkStart w:id="75" w:name="_Toc390098420"/>
      <w:bookmarkStart w:id="76" w:name="_Toc15820"/>
      <w:bookmarkStart w:id="77" w:name="_Toc114134609"/>
      <w:bookmarkStart w:id="78" w:name="_Toc10907"/>
      <w:bookmarkStart w:id="79" w:name="_Toc31314"/>
      <w:bookmarkStart w:id="80" w:name="_Toc25750592"/>
      <w:bookmarkStart w:id="81" w:name="_Toc24429"/>
      <w:bookmarkStart w:id="82" w:name="_Toc375039065"/>
      <w:bookmarkStart w:id="83" w:name="_Toc6985"/>
      <w:bookmarkStart w:id="84" w:name="_Toc27847"/>
      <w:bookmarkStart w:id="85" w:name="_Toc16860"/>
      <w:bookmarkStart w:id="86" w:name="_Toc6038"/>
      <w:bookmarkStart w:id="87" w:name="_Toc8052"/>
      <w:bookmarkStart w:id="88" w:name="_Toc385427794"/>
      <w:bookmarkStart w:id="89" w:name="_Toc22987"/>
      <w:bookmarkStart w:id="90" w:name="_Toc492478719"/>
      <w:bookmarkStart w:id="91" w:name="_Toc4780"/>
      <w:bookmarkStart w:id="92" w:name="_Toc1552"/>
      <w:bookmarkStart w:id="93" w:name="_Toc27845"/>
      <w:bookmarkStart w:id="94" w:name="_Toc12983506"/>
      <w:bookmarkStart w:id="95" w:name="_Toc21874"/>
      <w:r>
        <w:rPr>
          <w:rFonts w:hint="eastAsia" w:ascii="宋体" w:hAnsi="宋体"/>
          <w:color w:val="000000" w:themeColor="text1"/>
          <w:sz w:val="21"/>
          <w:szCs w:val="21"/>
          <w:highlight w:val="none"/>
          <w14:textFill>
            <w14:solidFill>
              <w14:schemeClr w14:val="tx1"/>
            </w14:solidFill>
          </w14:textFill>
        </w:rPr>
        <w:t>2. 定义</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本比选文件使用的下列词汇具有如下规定的意义。</w:t>
      </w:r>
    </w:p>
    <w:p>
      <w:pPr>
        <w:tabs>
          <w:tab w:val="left" w:pos="8364"/>
        </w:tabs>
        <w:spacing w:before="0" w:after="0" w:afterAutospacing="0"/>
        <w:ind w:left="0" w:right="0" w:firstLine="420" w:firstLineChars="200"/>
        <w:rPr>
          <w:rFonts w:ascii="宋体" w:hAnsi="宋体"/>
          <w:b/>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2.1 </w:t>
      </w:r>
      <w:r>
        <w:rPr>
          <w:rFonts w:ascii="宋体" w:hAnsi="宋体"/>
          <w:color w:val="000000" w:themeColor="text1"/>
          <w:highlight w:val="none"/>
          <w14:textFill>
            <w14:solidFill>
              <w14:schemeClr w14:val="tx1"/>
            </w14:solidFill>
          </w14:textFill>
        </w:rPr>
        <w:t>“比选人”系指提出</w:t>
      </w:r>
      <w:r>
        <w:rPr>
          <w:rFonts w:hint="eastAsia" w:ascii="宋体" w:hAnsi="宋体"/>
          <w:color w:val="000000" w:themeColor="text1"/>
          <w:highlight w:val="none"/>
          <w14:textFill>
            <w14:solidFill>
              <w14:schemeClr w14:val="tx1"/>
            </w14:solidFill>
          </w14:textFill>
        </w:rPr>
        <w:t>比选</w:t>
      </w:r>
      <w:r>
        <w:rPr>
          <w:rFonts w:ascii="宋体" w:hAnsi="宋体"/>
          <w:color w:val="000000" w:themeColor="text1"/>
          <w:highlight w:val="none"/>
          <w14:textFill>
            <w14:solidFill>
              <w14:schemeClr w14:val="tx1"/>
            </w14:solidFill>
          </w14:textFill>
        </w:rPr>
        <w:t>采购</w:t>
      </w:r>
      <w:r>
        <w:rPr>
          <w:rFonts w:hint="eastAsia" w:ascii="宋体" w:hAnsi="宋体"/>
          <w:color w:val="000000" w:themeColor="text1"/>
          <w:highlight w:val="none"/>
          <w14:textFill>
            <w14:solidFill>
              <w14:schemeClr w14:val="tx1"/>
            </w14:solidFill>
          </w14:textFill>
        </w:rPr>
        <w:t>项目</w:t>
      </w:r>
      <w:r>
        <w:rPr>
          <w:rFonts w:ascii="宋体" w:hAnsi="宋体"/>
          <w:color w:val="000000" w:themeColor="text1"/>
          <w:highlight w:val="none"/>
          <w14:textFill>
            <w14:solidFill>
              <w14:schemeClr w14:val="tx1"/>
            </w14:solidFill>
          </w14:textFill>
        </w:rPr>
        <w:t>的国家机关、企业、事业单位或其它组织。本比选文件中比选人是指</w:t>
      </w:r>
      <w:r>
        <w:rPr>
          <w:rFonts w:hint="eastAsia" w:ascii="宋体" w:hAnsi="宋体"/>
          <w:b/>
          <w:bCs/>
          <w:color w:val="000000" w:themeColor="text1"/>
          <w:highlight w:val="none"/>
          <w:lang w:eastAsia="zh-CN"/>
          <w14:textFill>
            <w14:solidFill>
              <w14:schemeClr w14:val="tx1"/>
            </w14:solidFill>
          </w14:textFill>
        </w:rPr>
        <w:t>南宁兴邕城市更新有限责任公司</w:t>
      </w:r>
      <w:r>
        <w:rPr>
          <w:rFonts w:hint="eastAsia" w:ascii="宋体" w:hAnsi="宋体"/>
          <w:b/>
          <w:color w:val="000000" w:themeColor="text1"/>
          <w:highlight w:val="none"/>
          <w14:textFill>
            <w14:solidFill>
              <w14:schemeClr w14:val="tx1"/>
            </w14:solidFill>
          </w14:textFill>
        </w:rPr>
        <w:t>，</w:t>
      </w:r>
      <w:r>
        <w:rPr>
          <w:rFonts w:ascii="宋体" w:hAnsi="宋体"/>
          <w:color w:val="000000" w:themeColor="text1"/>
          <w:highlight w:val="none"/>
          <w14:textFill>
            <w14:solidFill>
              <w14:schemeClr w14:val="tx1"/>
            </w14:solidFill>
          </w14:textFill>
        </w:rPr>
        <w:t>如无特别说明本比选文件中的“发包人、业主、甲方和比选人”均指：</w:t>
      </w:r>
      <w:r>
        <w:rPr>
          <w:rFonts w:hint="eastAsia" w:ascii="宋体" w:hAnsi="宋体"/>
          <w:b/>
          <w:color w:val="000000" w:themeColor="text1"/>
          <w:highlight w:val="none"/>
          <w:lang w:eastAsia="zh-CN"/>
          <w14:textFill>
            <w14:solidFill>
              <w14:schemeClr w14:val="tx1"/>
            </w14:solidFill>
          </w14:textFill>
        </w:rPr>
        <w:t>南宁兴邕城市更新有限责任公司</w:t>
      </w:r>
      <w:r>
        <w:rPr>
          <w:rFonts w:hint="eastAsia" w:ascii="宋体" w:hAnsi="宋体"/>
          <w:b/>
          <w:color w:val="000000" w:themeColor="text1"/>
          <w:highlight w:val="none"/>
          <w14:textFill>
            <w14:solidFill>
              <w14:schemeClr w14:val="tx1"/>
            </w14:solidFill>
          </w14:textFill>
        </w:rPr>
        <w:t>。</w:t>
      </w:r>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2.</w:t>
      </w:r>
      <w:r>
        <w:rPr>
          <w:rFonts w:hint="eastAsia" w:ascii="宋体" w:hAnsi="宋体"/>
          <w:color w:val="000000" w:themeColor="text1"/>
          <w:highlight w:val="none"/>
          <w14:textFill>
            <w14:solidFill>
              <w14:schemeClr w14:val="tx1"/>
            </w14:solidFill>
          </w14:textFill>
        </w:rPr>
        <w:t>2</w:t>
      </w:r>
      <w:r>
        <w:rPr>
          <w:rFonts w:ascii="宋体" w:hAnsi="宋体"/>
          <w:color w:val="000000" w:themeColor="text1"/>
          <w:highlight w:val="none"/>
          <w14:textFill>
            <w14:solidFill>
              <w14:schemeClr w14:val="tx1"/>
            </w14:solidFill>
          </w14:textFill>
        </w:rPr>
        <w:t xml:space="preserve"> “比选申请人”</w:t>
      </w:r>
      <w:r>
        <w:rPr>
          <w:rFonts w:hint="eastAsia" w:ascii="宋体" w:hAnsi="宋体"/>
          <w:color w:val="000000" w:themeColor="text1"/>
          <w:highlight w:val="none"/>
          <w14:textFill>
            <w14:solidFill>
              <w14:schemeClr w14:val="tx1"/>
            </w14:solidFill>
          </w14:textFill>
        </w:rPr>
        <w:t>系指响应比选、参加比选申请竞争的法人或其他组织</w:t>
      </w:r>
      <w:r>
        <w:rPr>
          <w:rFonts w:ascii="宋体" w:hAnsi="宋体"/>
          <w:color w:val="000000" w:themeColor="text1"/>
          <w:highlight w:val="none"/>
          <w14:textFill>
            <w14:solidFill>
              <w14:schemeClr w14:val="tx1"/>
            </w14:solidFill>
          </w14:textFill>
        </w:rPr>
        <w:t>。</w:t>
      </w:r>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2.3</w:t>
      </w:r>
      <w:r>
        <w:rPr>
          <w:rFonts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服务</w:t>
      </w:r>
      <w:r>
        <w:rPr>
          <w:rFonts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系指比选文件规定比选申请人须承担的一切合同标的内容及配套工作。</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2.4比选申请文件电子版形式：每份包括office版本或WPS版本的全套比选申请文件(资格审查文件、价格文件和技术文件)和盖章后的全套比选申请文件(资格审查文件、价格文件和技术文件)正本的PDF版本扫描件。保存介质：U盘</w:t>
      </w:r>
      <w:r>
        <w:rPr>
          <w:rFonts w:ascii="宋体" w:hAnsi="宋体"/>
          <w:color w:val="000000" w:themeColor="text1"/>
          <w:highlight w:val="none"/>
          <w14:textFill>
            <w14:solidFill>
              <w14:schemeClr w14:val="tx1"/>
            </w14:solidFill>
          </w14:textFill>
        </w:rPr>
        <w:t>。</w:t>
      </w:r>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2.5</w:t>
      </w:r>
      <w:r>
        <w:rPr>
          <w:rFonts w:ascii="宋体" w:hAnsi="宋体"/>
          <w:color w:val="000000" w:themeColor="text1"/>
          <w:highlight w:val="none"/>
          <w14:textFill>
            <w14:solidFill>
              <w14:schemeClr w14:val="tx1"/>
            </w14:solidFill>
          </w14:textFill>
        </w:rPr>
        <w:t>“书面形式”系指打字或印刷的函件，包括传真、电报等。</w:t>
      </w:r>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2.6</w:t>
      </w:r>
      <w:r>
        <w:rPr>
          <w:rFonts w:ascii="宋体" w:hAnsi="宋体"/>
          <w:color w:val="000000" w:themeColor="text1"/>
          <w:highlight w:val="none"/>
          <w14:textFill>
            <w14:solidFill>
              <w14:schemeClr w14:val="tx1"/>
            </w14:solidFill>
          </w14:textFill>
        </w:rPr>
        <w:t>“日”、“天”系指日历天。</w:t>
      </w:r>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2.7“保质期”系指质量三包的期限。</w:t>
      </w:r>
    </w:p>
    <w:p>
      <w:pPr>
        <w:pStyle w:val="4"/>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96" w:name="_Toc390098421"/>
      <w:bookmarkStart w:id="97" w:name="_Toc492478720"/>
      <w:bookmarkStart w:id="98" w:name="_Toc375039066"/>
      <w:bookmarkStart w:id="99" w:name="_Toc385427795"/>
      <w:bookmarkStart w:id="100" w:name="_Toc383891170"/>
      <w:bookmarkStart w:id="101" w:name="_Toc9929"/>
      <w:bookmarkStart w:id="102" w:name="_Toc29401"/>
      <w:bookmarkStart w:id="103" w:name="_Toc25786"/>
      <w:bookmarkStart w:id="104" w:name="_Toc12983507"/>
      <w:bookmarkStart w:id="105" w:name="_Toc24844"/>
      <w:bookmarkStart w:id="106" w:name="_Toc7797"/>
      <w:bookmarkStart w:id="107" w:name="_Toc307"/>
      <w:bookmarkStart w:id="108" w:name="_Toc21351"/>
      <w:bookmarkStart w:id="109" w:name="_Toc7306"/>
      <w:bookmarkStart w:id="110" w:name="_Toc17568"/>
      <w:bookmarkStart w:id="111" w:name="_Toc18527"/>
      <w:bookmarkStart w:id="112" w:name="_Toc10653"/>
      <w:bookmarkStart w:id="113" w:name="_Toc30498"/>
      <w:bookmarkStart w:id="114" w:name="_Toc22845"/>
      <w:bookmarkStart w:id="115" w:name="_Toc25750593"/>
      <w:bookmarkStart w:id="116" w:name="_Toc12940"/>
      <w:bookmarkStart w:id="117" w:name="_Toc114134610"/>
      <w:bookmarkStart w:id="118" w:name="_Toc31477"/>
      <w:bookmarkStart w:id="119" w:name="_Toc29859"/>
      <w:bookmarkStart w:id="120" w:name="_Toc17075"/>
      <w:bookmarkStart w:id="121" w:name="_Toc8288"/>
      <w:bookmarkStart w:id="122" w:name="_Toc22115"/>
      <w:r>
        <w:rPr>
          <w:rFonts w:ascii="宋体" w:hAnsi="宋体"/>
          <w:color w:val="000000" w:themeColor="text1"/>
          <w:sz w:val="21"/>
          <w:szCs w:val="21"/>
          <w:highlight w:val="none"/>
          <w14:textFill>
            <w14:solidFill>
              <w14:schemeClr w14:val="tx1"/>
            </w14:solidFill>
          </w14:textFill>
        </w:rPr>
        <w:t>3. 比选申请人</w:t>
      </w:r>
      <w:bookmarkEnd w:id="96"/>
      <w:bookmarkEnd w:id="97"/>
      <w:bookmarkEnd w:id="98"/>
      <w:bookmarkEnd w:id="99"/>
      <w:bookmarkEnd w:id="100"/>
      <w:r>
        <w:rPr>
          <w:rFonts w:hint="eastAsia" w:ascii="宋体" w:hAnsi="宋体"/>
          <w:color w:val="000000" w:themeColor="text1"/>
          <w:sz w:val="21"/>
          <w:szCs w:val="21"/>
          <w:highlight w:val="none"/>
          <w14:textFill>
            <w14:solidFill>
              <w14:schemeClr w14:val="tx1"/>
            </w14:solidFill>
          </w14:textFill>
        </w:rPr>
        <w:t>应具备的资格条件</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3.1 </w:t>
      </w:r>
      <w:r>
        <w:rPr>
          <w:rFonts w:ascii="宋体" w:hAnsi="宋体"/>
          <w:color w:val="000000" w:themeColor="text1"/>
          <w:highlight w:val="none"/>
          <w14:textFill>
            <w14:solidFill>
              <w14:schemeClr w14:val="tx1"/>
            </w14:solidFill>
          </w14:textFill>
        </w:rPr>
        <w:t>详见比选申请须知前附表。</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 xml:space="preserve">3.2 </w:t>
      </w:r>
      <w:r>
        <w:rPr>
          <w:rFonts w:hint="eastAsia" w:ascii="宋体" w:hAnsi="宋体"/>
          <w:color w:val="000000" w:themeColor="text1"/>
          <w:highlight w:val="none"/>
          <w14:textFill>
            <w14:solidFill>
              <w14:schemeClr w14:val="tx1"/>
            </w14:solidFill>
          </w14:textFill>
        </w:rPr>
        <w:t>比选申请人不得存在以下情况之一，否则其比选申请将被否决：</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w:t>
      </w:r>
      <w:r>
        <w:rPr>
          <w:rFonts w:ascii="宋体" w:hAnsi="宋体"/>
          <w:color w:val="000000" w:themeColor="text1"/>
          <w:highlight w:val="none"/>
          <w14:textFill>
            <w14:solidFill>
              <w14:schemeClr w14:val="tx1"/>
            </w14:solidFill>
          </w14:textFill>
        </w:rPr>
        <w:t>1</w:t>
      </w:r>
      <w:r>
        <w:rPr>
          <w:rFonts w:hint="eastAsia" w:ascii="宋体" w:hAnsi="宋体"/>
          <w:color w:val="000000" w:themeColor="text1"/>
          <w:highlight w:val="none"/>
          <w14:textFill>
            <w14:solidFill>
              <w14:schemeClr w14:val="tx1"/>
            </w14:solidFill>
          </w14:textFill>
        </w:rPr>
        <w:t>）为比选人不具有独立法人资格的附属机构（单位）；</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（2）处于被责令停业，或比选申请资格被住建部、国家安监总局、广西区或南宁市建设行政主管部门取消，或财产被接管、冻结、破产状态；</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（3）有骗取中选、严重违约或重大质量安全责任事故；</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（4）单位负责人为同一人或者存在控股、管理关系的不同单位，不得同时参加同一标段比选申请或者未划分标段的同一比选项目比选申请；</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（5）比选申请人向比选人或评审委员会成员以行贿的手段谋取中选的；</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（6）串通比选申请或弄虚作假或有其他违法行为的；</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（7）在比选申请文件中提供虚假文件或资料的。</w:t>
      </w:r>
    </w:p>
    <w:p>
      <w:pPr>
        <w:pStyle w:val="4"/>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123" w:name="_Toc30752"/>
      <w:bookmarkStart w:id="124" w:name="_Toc21215"/>
      <w:bookmarkStart w:id="125" w:name="_Toc492478721"/>
      <w:bookmarkStart w:id="126" w:name="_Toc8434"/>
      <w:bookmarkStart w:id="127" w:name="_Toc385427796"/>
      <w:bookmarkStart w:id="128" w:name="_Toc7103"/>
      <w:bookmarkStart w:id="129" w:name="_Toc616"/>
      <w:bookmarkStart w:id="130" w:name="_Toc19709"/>
      <w:bookmarkStart w:id="131" w:name="_Toc25750594"/>
      <w:bookmarkStart w:id="132" w:name="_Toc114134611"/>
      <w:bookmarkStart w:id="133" w:name="_Toc31026"/>
      <w:bookmarkStart w:id="134" w:name="_Toc19081"/>
      <w:bookmarkStart w:id="135" w:name="_Toc24103"/>
      <w:bookmarkStart w:id="136" w:name="_Toc383891171"/>
      <w:bookmarkStart w:id="137" w:name="_Toc375039067"/>
      <w:bookmarkStart w:id="138" w:name="_Toc31789"/>
      <w:bookmarkStart w:id="139" w:name="_Toc18668"/>
      <w:bookmarkStart w:id="140" w:name="_Toc1125"/>
      <w:bookmarkStart w:id="141" w:name="_Toc21602"/>
      <w:bookmarkStart w:id="142" w:name="_Toc23146"/>
      <w:bookmarkStart w:id="143" w:name="_Toc7832"/>
      <w:bookmarkStart w:id="144" w:name="_Toc3292"/>
      <w:bookmarkStart w:id="145" w:name="_Toc12983508"/>
      <w:bookmarkStart w:id="146" w:name="_Toc4438"/>
      <w:bookmarkStart w:id="147" w:name="_Toc1737"/>
      <w:bookmarkStart w:id="148" w:name="_Toc25914"/>
      <w:bookmarkStart w:id="149" w:name="_Toc390098422"/>
      <w:r>
        <w:rPr>
          <w:rFonts w:hint="eastAsia" w:ascii="宋体" w:hAnsi="宋体"/>
          <w:color w:val="000000" w:themeColor="text1"/>
          <w:sz w:val="21"/>
          <w:szCs w:val="21"/>
          <w:highlight w:val="none"/>
          <w14:textFill>
            <w14:solidFill>
              <w14:schemeClr w14:val="tx1"/>
            </w14:solidFill>
          </w14:textFill>
        </w:rPr>
        <w:t xml:space="preserve">4. </w:t>
      </w:r>
      <w:r>
        <w:rPr>
          <w:rFonts w:ascii="宋体" w:hAnsi="宋体"/>
          <w:color w:val="000000" w:themeColor="text1"/>
          <w:sz w:val="21"/>
          <w:szCs w:val="21"/>
          <w:highlight w:val="none"/>
          <w14:textFill>
            <w14:solidFill>
              <w14:schemeClr w14:val="tx1"/>
            </w14:solidFill>
          </w14:textFill>
        </w:rPr>
        <w:t>比选申请费用</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比选申请人准备和参加比选申请活动发生的费用自理</w:t>
      </w:r>
      <w:r>
        <w:rPr>
          <w:rFonts w:ascii="宋体" w:hAnsi="宋体"/>
          <w:color w:val="000000" w:themeColor="text1"/>
          <w:highlight w:val="none"/>
          <w14:textFill>
            <w14:solidFill>
              <w14:schemeClr w14:val="tx1"/>
            </w14:solidFill>
          </w14:textFill>
        </w:rPr>
        <w:t>。</w:t>
      </w:r>
    </w:p>
    <w:p>
      <w:pPr>
        <w:pStyle w:val="3"/>
        <w:spacing w:after="0" w:afterAutospacing="0" w:line="360" w:lineRule="auto"/>
        <w:ind w:left="0" w:right="0" w:firstLine="482" w:firstLineChars="200"/>
        <w:rPr>
          <w:rFonts w:ascii="宋体" w:hAnsi="宋体" w:eastAsia="宋体"/>
          <w:color w:val="000000" w:themeColor="text1"/>
          <w:sz w:val="24"/>
          <w:szCs w:val="24"/>
          <w:highlight w:val="none"/>
          <w14:textFill>
            <w14:solidFill>
              <w14:schemeClr w14:val="tx1"/>
            </w14:solidFill>
          </w14:textFill>
        </w:rPr>
      </w:pPr>
      <w:bookmarkStart w:id="150" w:name="_Toc29160"/>
      <w:bookmarkStart w:id="151" w:name="_Toc16530"/>
      <w:bookmarkStart w:id="152" w:name="_Toc28220"/>
      <w:bookmarkStart w:id="153" w:name="_Toc2609"/>
      <w:bookmarkStart w:id="154" w:name="_Toc7012"/>
      <w:bookmarkStart w:id="155" w:name="_Toc28017"/>
      <w:bookmarkStart w:id="156" w:name="_Toc7339"/>
      <w:bookmarkStart w:id="157" w:name="_Toc15763"/>
      <w:bookmarkStart w:id="158" w:name="_Toc16131"/>
      <w:bookmarkStart w:id="159" w:name="_Toc385427797"/>
      <w:bookmarkStart w:id="160" w:name="_Toc375039068"/>
      <w:bookmarkStart w:id="161" w:name="_Toc18528"/>
      <w:bookmarkStart w:id="162" w:name="_Toc12983509"/>
      <w:bookmarkStart w:id="163" w:name="_Toc390098423"/>
      <w:bookmarkStart w:id="164" w:name="_Toc3854"/>
      <w:bookmarkStart w:id="165" w:name="_Toc383891172"/>
      <w:bookmarkStart w:id="166" w:name="_Toc492478722"/>
      <w:bookmarkStart w:id="167" w:name="_Toc9677"/>
      <w:bookmarkStart w:id="168" w:name="_Toc2986"/>
      <w:bookmarkStart w:id="169" w:name="_Toc6528"/>
      <w:bookmarkStart w:id="170" w:name="_Toc16608"/>
      <w:bookmarkStart w:id="171" w:name="_Toc5487"/>
      <w:bookmarkStart w:id="172" w:name="_Toc114134612"/>
      <w:bookmarkStart w:id="173" w:name="_Toc5160"/>
      <w:bookmarkStart w:id="174" w:name="_Toc8562"/>
      <w:bookmarkStart w:id="175" w:name="_Toc19617"/>
      <w:r>
        <w:rPr>
          <w:rFonts w:hint="eastAsia" w:ascii="宋体" w:hAnsi="宋体" w:eastAsia="宋体"/>
          <w:color w:val="000000" w:themeColor="text1"/>
          <w:sz w:val="24"/>
          <w:szCs w:val="24"/>
          <w:highlight w:val="none"/>
          <w14:textFill>
            <w14:solidFill>
              <w14:schemeClr w14:val="tx1"/>
            </w14:solidFill>
          </w14:textFill>
        </w:rPr>
        <w:t>二、</w:t>
      </w:r>
      <w:r>
        <w:rPr>
          <w:rFonts w:ascii="宋体" w:hAnsi="宋体" w:eastAsia="宋体"/>
          <w:color w:val="000000" w:themeColor="text1"/>
          <w:sz w:val="24"/>
          <w:szCs w:val="24"/>
          <w:highlight w:val="none"/>
          <w14:textFill>
            <w14:solidFill>
              <w14:schemeClr w14:val="tx1"/>
            </w14:solidFill>
          </w14:textFill>
        </w:rPr>
        <w:t>比选文件</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pPr>
        <w:pStyle w:val="4"/>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176" w:name="_Toc4157"/>
      <w:bookmarkStart w:id="177" w:name="_Toc114134613"/>
      <w:bookmarkStart w:id="178" w:name="_Toc383891173"/>
      <w:bookmarkStart w:id="179" w:name="_Toc839"/>
      <w:bookmarkStart w:id="180" w:name="_Toc30401"/>
      <w:bookmarkStart w:id="181" w:name="_Toc6637"/>
      <w:bookmarkStart w:id="182" w:name="_Toc1404"/>
      <w:bookmarkStart w:id="183" w:name="_Toc390098424"/>
      <w:bookmarkStart w:id="184" w:name="_Toc2048"/>
      <w:bookmarkStart w:id="185" w:name="_Toc385427798"/>
      <w:bookmarkStart w:id="186" w:name="_Toc18436"/>
      <w:bookmarkStart w:id="187" w:name="_Toc32710"/>
      <w:bookmarkStart w:id="188" w:name="_Toc21811"/>
      <w:bookmarkStart w:id="189" w:name="_Toc9756"/>
      <w:bookmarkStart w:id="190" w:name="_Toc492478723"/>
      <w:bookmarkStart w:id="191" w:name="_Toc29472"/>
      <w:bookmarkStart w:id="192" w:name="_Toc13114"/>
      <w:bookmarkStart w:id="193" w:name="_Toc26333"/>
      <w:bookmarkStart w:id="194" w:name="_Toc19561"/>
      <w:bookmarkStart w:id="195" w:name="_Toc29225"/>
      <w:bookmarkStart w:id="196" w:name="_Toc27870"/>
      <w:bookmarkStart w:id="197" w:name="_Toc25378"/>
      <w:bookmarkStart w:id="198" w:name="_Toc12983510"/>
      <w:bookmarkStart w:id="199" w:name="_Toc6764"/>
      <w:bookmarkStart w:id="200" w:name="_Toc25750596"/>
      <w:bookmarkStart w:id="201" w:name="_Toc5877"/>
      <w:bookmarkStart w:id="202" w:name="_Toc375039069"/>
      <w:r>
        <w:rPr>
          <w:rFonts w:hint="eastAsia" w:ascii="宋体" w:hAnsi="宋体"/>
          <w:color w:val="000000" w:themeColor="text1"/>
          <w:sz w:val="21"/>
          <w:szCs w:val="21"/>
          <w:highlight w:val="none"/>
          <w14:textFill>
            <w14:solidFill>
              <w14:schemeClr w14:val="tx1"/>
            </w14:solidFill>
          </w14:textFill>
        </w:rPr>
        <w:t xml:space="preserve">5. </w:t>
      </w:r>
      <w:r>
        <w:rPr>
          <w:rFonts w:ascii="宋体" w:hAnsi="宋体"/>
          <w:color w:val="000000" w:themeColor="text1"/>
          <w:sz w:val="21"/>
          <w:szCs w:val="21"/>
          <w:highlight w:val="none"/>
          <w14:textFill>
            <w14:solidFill>
              <w14:schemeClr w14:val="tx1"/>
            </w14:solidFill>
          </w14:textFill>
        </w:rPr>
        <w:t>比选文件构成</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5.1 </w:t>
      </w:r>
      <w:r>
        <w:rPr>
          <w:rFonts w:ascii="宋体" w:hAnsi="宋体"/>
          <w:color w:val="000000" w:themeColor="text1"/>
          <w:highlight w:val="none"/>
          <w14:textFill>
            <w14:solidFill>
              <w14:schemeClr w14:val="tx1"/>
            </w14:solidFill>
          </w14:textFill>
        </w:rPr>
        <w:t>比选文件包括下列内容：</w:t>
      </w:r>
    </w:p>
    <w:p>
      <w:pPr>
        <w:numPr>
          <w:ilvl w:val="0"/>
          <w:numId w:val="1"/>
        </w:num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比选公告</w:t>
      </w:r>
    </w:p>
    <w:p>
      <w:pPr>
        <w:numPr>
          <w:ilvl w:val="0"/>
          <w:numId w:val="1"/>
        </w:num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比选申请人须知</w:t>
      </w:r>
    </w:p>
    <w:p>
      <w:pPr>
        <w:numPr>
          <w:ilvl w:val="0"/>
          <w:numId w:val="1"/>
        </w:num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合同条款</w:t>
      </w:r>
      <w:r>
        <w:rPr>
          <w:rFonts w:hint="eastAsia" w:ascii="宋体" w:hAnsi="宋体"/>
          <w:color w:val="000000" w:themeColor="text1"/>
          <w:highlight w:val="none"/>
          <w14:textFill>
            <w14:solidFill>
              <w14:schemeClr w14:val="tx1"/>
            </w14:solidFill>
          </w14:textFill>
        </w:rPr>
        <w:t>及格式</w:t>
      </w:r>
    </w:p>
    <w:p>
      <w:pPr>
        <w:numPr>
          <w:ilvl w:val="0"/>
          <w:numId w:val="1"/>
        </w:num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比选申请文件格式</w:t>
      </w:r>
    </w:p>
    <w:p>
      <w:pPr>
        <w:numPr>
          <w:ilvl w:val="0"/>
          <w:numId w:val="1"/>
        </w:num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采购需求书</w:t>
      </w:r>
    </w:p>
    <w:p>
      <w:pPr>
        <w:numPr>
          <w:ilvl w:val="0"/>
          <w:numId w:val="1"/>
        </w:num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评</w:t>
      </w:r>
      <w:r>
        <w:rPr>
          <w:rFonts w:hint="eastAsia" w:ascii="宋体" w:hAnsi="宋体"/>
          <w:color w:val="000000" w:themeColor="text1"/>
          <w:highlight w:val="none"/>
          <w14:textFill>
            <w14:solidFill>
              <w14:schemeClr w14:val="tx1"/>
            </w14:solidFill>
          </w14:textFill>
        </w:rPr>
        <w:t>分</w:t>
      </w:r>
      <w:r>
        <w:rPr>
          <w:rFonts w:ascii="宋体" w:hAnsi="宋体"/>
          <w:color w:val="000000" w:themeColor="text1"/>
          <w:highlight w:val="none"/>
          <w14:textFill>
            <w14:solidFill>
              <w14:schemeClr w14:val="tx1"/>
            </w14:solidFill>
          </w14:textFill>
        </w:rPr>
        <w:t>办法</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5.2 </w:t>
      </w:r>
      <w:r>
        <w:rPr>
          <w:rFonts w:ascii="宋体" w:hAnsi="宋体"/>
          <w:color w:val="000000" w:themeColor="text1"/>
          <w:highlight w:val="none"/>
          <w14:textFill>
            <w14:solidFill>
              <w14:schemeClr w14:val="tx1"/>
            </w14:solidFill>
          </w14:textFill>
        </w:rPr>
        <w:t>比选申请人应认真检阅比选文件中所有的章节、条款、格式、图纸、附表和附件等。如果在收到比选文件后发现有缺页、印刷不清楚或对其中内容不理解而未向</w:t>
      </w:r>
      <w:r>
        <w:rPr>
          <w:rFonts w:hint="eastAsia" w:ascii="宋体" w:hAnsi="宋体"/>
          <w:color w:val="000000" w:themeColor="text1"/>
          <w:highlight w:val="none"/>
          <w14:textFill>
            <w14:solidFill>
              <w14:schemeClr w14:val="tx1"/>
            </w14:solidFill>
          </w14:textFill>
        </w:rPr>
        <w:t>比选人</w:t>
      </w:r>
      <w:r>
        <w:rPr>
          <w:rFonts w:ascii="宋体" w:hAnsi="宋体"/>
          <w:color w:val="000000" w:themeColor="text1"/>
          <w:highlight w:val="none"/>
          <w14:textFill>
            <w14:solidFill>
              <w14:schemeClr w14:val="tx1"/>
            </w14:solidFill>
          </w14:textFill>
        </w:rPr>
        <w:t>提出，由此导致的比选申请失误，其责任由比选申请人自负。</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5.3 </w:t>
      </w:r>
      <w:r>
        <w:rPr>
          <w:rFonts w:ascii="宋体" w:hAnsi="宋体"/>
          <w:color w:val="000000" w:themeColor="text1"/>
          <w:highlight w:val="none"/>
          <w14:textFill>
            <w14:solidFill>
              <w14:schemeClr w14:val="tx1"/>
            </w14:solidFill>
          </w14:textFill>
        </w:rPr>
        <w:t>比选申请人没有按照比选文件要求提交全部资料，或者没有对比选文件在各方面都作出实质性响应是比选申请人的风险，并可能导致其比选申请被否决。比选申请人在比选申请文件中提出的对比选文件的要求带有限制性的理解或注释将被视为没有全面响应比选文件的要求。</w:t>
      </w:r>
    </w:p>
    <w:p>
      <w:pPr>
        <w:pStyle w:val="4"/>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203" w:name="_Toc10162"/>
      <w:bookmarkStart w:id="204" w:name="_Toc2489"/>
      <w:bookmarkStart w:id="205" w:name="_Toc31848"/>
      <w:bookmarkStart w:id="206" w:name="_Toc12983511"/>
      <w:bookmarkStart w:id="207" w:name="_Toc492478724"/>
      <w:bookmarkStart w:id="208" w:name="_Toc17279"/>
      <w:bookmarkStart w:id="209" w:name="_Toc375039070"/>
      <w:bookmarkStart w:id="210" w:name="_Toc390098425"/>
      <w:bookmarkStart w:id="211" w:name="_Toc29001"/>
      <w:bookmarkStart w:id="212" w:name="_Toc31386"/>
      <w:bookmarkStart w:id="213" w:name="_Toc15154"/>
      <w:bookmarkStart w:id="214" w:name="_Toc11896"/>
      <w:bookmarkStart w:id="215" w:name="_Toc2789"/>
      <w:bookmarkStart w:id="216" w:name="_Toc26909"/>
      <w:bookmarkStart w:id="217" w:name="_Toc114134614"/>
      <w:bookmarkStart w:id="218" w:name="_Toc20903"/>
      <w:bookmarkStart w:id="219" w:name="_Toc14426"/>
      <w:bookmarkStart w:id="220" w:name="_Toc21365"/>
      <w:bookmarkStart w:id="221" w:name="_Toc25750597"/>
      <w:bookmarkStart w:id="222" w:name="_Toc26811"/>
      <w:bookmarkStart w:id="223" w:name="_Toc18631"/>
      <w:bookmarkStart w:id="224" w:name="_Toc18719"/>
      <w:bookmarkStart w:id="225" w:name="_Toc6622"/>
      <w:bookmarkStart w:id="226" w:name="_Toc2664"/>
      <w:bookmarkStart w:id="227" w:name="_Toc28270"/>
      <w:bookmarkStart w:id="228" w:name="_Toc385427799"/>
      <w:bookmarkStart w:id="229" w:name="_Toc383891174"/>
      <w:r>
        <w:rPr>
          <w:rFonts w:hint="eastAsia" w:ascii="宋体" w:hAnsi="宋体"/>
          <w:color w:val="000000" w:themeColor="text1"/>
          <w:sz w:val="21"/>
          <w:szCs w:val="21"/>
          <w:highlight w:val="none"/>
          <w14:textFill>
            <w14:solidFill>
              <w14:schemeClr w14:val="tx1"/>
            </w14:solidFill>
          </w14:textFill>
        </w:rPr>
        <w:t>6.</w:t>
      </w:r>
      <w:r>
        <w:rPr>
          <w:rFonts w:ascii="宋体" w:hAnsi="宋体"/>
          <w:color w:val="000000" w:themeColor="text1"/>
          <w:sz w:val="21"/>
          <w:szCs w:val="21"/>
          <w:highlight w:val="none"/>
          <w14:textFill>
            <w14:solidFill>
              <w14:schemeClr w14:val="tx1"/>
            </w14:solidFill>
          </w14:textFill>
        </w:rPr>
        <w:t>比选文件的澄清</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6.1 </w:t>
      </w:r>
      <w:r>
        <w:rPr>
          <w:rFonts w:ascii="宋体" w:hAnsi="宋体"/>
          <w:color w:val="000000" w:themeColor="text1"/>
          <w:highlight w:val="none"/>
          <w14:textFill>
            <w14:solidFill>
              <w14:schemeClr w14:val="tx1"/>
            </w14:solidFill>
          </w14:textFill>
        </w:rPr>
        <w:t>任何要求对比选文件进行澄清的比选申请人，应在比选申请须知前附表所规定的时间</w:t>
      </w:r>
      <w:r>
        <w:rPr>
          <w:rFonts w:hint="eastAsia" w:ascii="宋体" w:hAnsi="宋体"/>
          <w:color w:val="000000" w:themeColor="text1"/>
          <w:highlight w:val="none"/>
          <w14:textFill>
            <w14:solidFill>
              <w14:schemeClr w14:val="tx1"/>
            </w14:solidFill>
          </w14:textFill>
        </w:rPr>
        <w:t>及形式向比选人提出。</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6.2 比选人</w:t>
      </w:r>
      <w:r>
        <w:rPr>
          <w:rFonts w:ascii="宋体" w:hAnsi="宋体"/>
          <w:color w:val="000000" w:themeColor="text1"/>
          <w:highlight w:val="none"/>
          <w14:textFill>
            <w14:solidFill>
              <w14:schemeClr w14:val="tx1"/>
            </w14:solidFill>
          </w14:textFill>
        </w:rPr>
        <w:t>将根据比选申请人的</w:t>
      </w:r>
      <w:r>
        <w:rPr>
          <w:rFonts w:hint="eastAsia" w:ascii="宋体" w:hAnsi="宋体"/>
          <w:color w:val="000000" w:themeColor="text1"/>
          <w:highlight w:val="none"/>
          <w14:textFill>
            <w14:solidFill>
              <w14:schemeClr w14:val="tx1"/>
            </w14:solidFill>
          </w14:textFill>
        </w:rPr>
        <w:t>书面</w:t>
      </w:r>
      <w:r>
        <w:rPr>
          <w:rFonts w:ascii="宋体" w:hAnsi="宋体"/>
          <w:color w:val="000000" w:themeColor="text1"/>
          <w:highlight w:val="none"/>
          <w14:textFill>
            <w14:solidFill>
              <w14:schemeClr w14:val="tx1"/>
            </w14:solidFill>
          </w14:textFill>
        </w:rPr>
        <w:t>澄清要求</w:t>
      </w:r>
      <w:r>
        <w:rPr>
          <w:rFonts w:hint="eastAsia" w:ascii="宋体" w:hAnsi="宋体"/>
          <w:color w:val="000000" w:themeColor="text1"/>
          <w:highlight w:val="none"/>
          <w14:textFill>
            <w14:solidFill>
              <w14:schemeClr w14:val="tx1"/>
            </w14:solidFill>
          </w14:textFill>
        </w:rPr>
        <w:t>进行澄清答复，答复的方式及比选申请人确认的方式详见比选申请须知前附表，比选人</w:t>
      </w:r>
      <w:r>
        <w:rPr>
          <w:rFonts w:ascii="宋体" w:hAnsi="宋体"/>
          <w:color w:val="000000" w:themeColor="text1"/>
          <w:highlight w:val="none"/>
          <w14:textFill>
            <w14:solidFill>
              <w14:schemeClr w14:val="tx1"/>
            </w14:solidFill>
          </w14:textFill>
        </w:rPr>
        <w:t>只答复与比选文件内容有关的问题，并有权对任何与比选文件无关的问题不作回答。</w:t>
      </w:r>
    </w:p>
    <w:p>
      <w:pPr>
        <w:pStyle w:val="4"/>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230" w:name="_Toc2976"/>
      <w:bookmarkStart w:id="231" w:name="_Toc15674"/>
      <w:bookmarkStart w:id="232" w:name="_Toc385427800"/>
      <w:bookmarkStart w:id="233" w:name="_Toc492478725"/>
      <w:bookmarkStart w:id="234" w:name="_Toc390098426"/>
      <w:bookmarkStart w:id="235" w:name="_Toc26952"/>
      <w:bookmarkStart w:id="236" w:name="_Toc114134615"/>
      <w:bookmarkStart w:id="237" w:name="_Toc24583"/>
      <w:bookmarkStart w:id="238" w:name="_Toc23189"/>
      <w:bookmarkStart w:id="239" w:name="_Toc15498"/>
      <w:bookmarkStart w:id="240" w:name="_Toc24128"/>
      <w:bookmarkStart w:id="241" w:name="_Toc5364"/>
      <w:bookmarkStart w:id="242" w:name="_Toc7063"/>
      <w:bookmarkStart w:id="243" w:name="_Toc14181"/>
      <w:bookmarkStart w:id="244" w:name="_Toc25750598"/>
      <w:bookmarkStart w:id="245" w:name="_Toc383891175"/>
      <w:bookmarkStart w:id="246" w:name="_Toc12983512"/>
      <w:bookmarkStart w:id="247" w:name="_Toc24191"/>
      <w:bookmarkStart w:id="248" w:name="_Toc22529"/>
      <w:bookmarkStart w:id="249" w:name="_Toc30378"/>
      <w:bookmarkStart w:id="250" w:name="_Toc2072"/>
      <w:bookmarkStart w:id="251" w:name="_Toc29795"/>
      <w:bookmarkStart w:id="252" w:name="_Toc15137"/>
      <w:bookmarkStart w:id="253" w:name="_Toc27124"/>
      <w:bookmarkStart w:id="254" w:name="_Toc23716"/>
      <w:bookmarkStart w:id="255" w:name="_Toc375039071"/>
      <w:bookmarkStart w:id="256" w:name="_Toc19345"/>
      <w:r>
        <w:rPr>
          <w:rFonts w:hint="eastAsia" w:ascii="宋体" w:hAnsi="宋体"/>
          <w:color w:val="000000" w:themeColor="text1"/>
          <w:sz w:val="21"/>
          <w:szCs w:val="21"/>
          <w:highlight w:val="none"/>
          <w14:textFill>
            <w14:solidFill>
              <w14:schemeClr w14:val="tx1"/>
            </w14:solidFill>
          </w14:textFill>
        </w:rPr>
        <w:t xml:space="preserve">7. </w:t>
      </w:r>
      <w:r>
        <w:rPr>
          <w:rFonts w:ascii="宋体" w:hAnsi="宋体"/>
          <w:color w:val="000000" w:themeColor="text1"/>
          <w:sz w:val="21"/>
          <w:szCs w:val="21"/>
          <w:highlight w:val="none"/>
          <w14:textFill>
            <w14:solidFill>
              <w14:schemeClr w14:val="tx1"/>
            </w14:solidFill>
          </w14:textFill>
        </w:rPr>
        <w:t>比选文件的补遗或修改</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7.1 </w:t>
      </w:r>
      <w:r>
        <w:rPr>
          <w:rFonts w:ascii="宋体" w:hAnsi="宋体"/>
          <w:color w:val="000000" w:themeColor="text1"/>
          <w:highlight w:val="none"/>
          <w14:textFill>
            <w14:solidFill>
              <w14:schemeClr w14:val="tx1"/>
            </w14:solidFill>
          </w14:textFill>
        </w:rPr>
        <w:t>在比选申请截止期前，无论出于何种原因，</w:t>
      </w:r>
      <w:r>
        <w:rPr>
          <w:rFonts w:hint="eastAsia" w:ascii="宋体" w:hAnsi="宋体"/>
          <w:color w:val="000000" w:themeColor="text1"/>
          <w:highlight w:val="none"/>
          <w14:textFill>
            <w14:solidFill>
              <w14:schemeClr w14:val="tx1"/>
            </w14:solidFill>
          </w14:textFill>
        </w:rPr>
        <w:t>比选人</w:t>
      </w:r>
      <w:r>
        <w:rPr>
          <w:rFonts w:ascii="宋体" w:hAnsi="宋体"/>
          <w:color w:val="000000" w:themeColor="text1"/>
          <w:highlight w:val="none"/>
          <w14:textFill>
            <w14:solidFill>
              <w14:schemeClr w14:val="tx1"/>
            </w14:solidFill>
          </w14:textFill>
        </w:rPr>
        <w:t>可以主动或应比选申请人澄清要求对比选文件进行必要的补遗或修改。</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7.2 </w:t>
      </w:r>
      <w:r>
        <w:rPr>
          <w:rFonts w:ascii="宋体" w:hAnsi="宋体"/>
          <w:color w:val="000000" w:themeColor="text1"/>
          <w:highlight w:val="none"/>
          <w14:textFill>
            <w14:solidFill>
              <w14:schemeClr w14:val="tx1"/>
            </w14:solidFill>
          </w14:textFill>
        </w:rPr>
        <w:t>比选文件的补遗或修改通知是比选文件的组成部分，补充比选文件在</w:t>
      </w:r>
      <w:r>
        <w:rPr>
          <w:rFonts w:hint="eastAsia" w:ascii="宋体" w:hAnsi="宋体"/>
          <w:color w:val="000000" w:themeColor="text1"/>
          <w:highlight w:val="none"/>
          <w:lang w:eastAsia="zh-CN"/>
          <w14:textFill>
            <w14:solidFill>
              <w14:schemeClr w14:val="tx1"/>
            </w14:solidFill>
          </w14:textFill>
        </w:rPr>
        <w:t>南宁兴邕城市更新有限责任公司</w:t>
      </w:r>
      <w:r>
        <w:rPr>
          <w:rFonts w:hint="eastAsia" w:ascii="宋体" w:hAnsi="宋体"/>
          <w:color w:val="000000" w:themeColor="text1"/>
          <w:highlight w:val="none"/>
          <w14:textFill>
            <w14:solidFill>
              <w14:schemeClr w14:val="tx1"/>
            </w14:solidFill>
          </w14:textFill>
        </w:rPr>
        <w:t>官网</w:t>
      </w:r>
      <w:r>
        <w:rPr>
          <w:rFonts w:ascii="宋体" w:hAnsi="宋体"/>
          <w:color w:val="000000" w:themeColor="text1"/>
          <w:highlight w:val="none"/>
          <w14:textFill>
            <w14:solidFill>
              <w14:schemeClr w14:val="tx1"/>
            </w14:solidFill>
          </w14:textFill>
        </w:rPr>
        <w:t>上发布之日起，视为比选申请人已收到该补充比选文件。比选申请人未及时关注</w:t>
      </w:r>
      <w:r>
        <w:rPr>
          <w:rFonts w:hint="eastAsia" w:ascii="宋体" w:hAnsi="宋体"/>
          <w:color w:val="000000" w:themeColor="text1"/>
          <w:highlight w:val="none"/>
          <w:lang w:eastAsia="zh-CN"/>
          <w14:textFill>
            <w14:solidFill>
              <w14:schemeClr w14:val="tx1"/>
            </w14:solidFill>
          </w14:textFill>
        </w:rPr>
        <w:t>南宁兴邕城市更新有限责任公司</w:t>
      </w:r>
      <w:r>
        <w:rPr>
          <w:rFonts w:hint="eastAsia" w:ascii="宋体" w:hAnsi="宋体"/>
          <w:color w:val="000000" w:themeColor="text1"/>
          <w:highlight w:val="none"/>
          <w14:textFill>
            <w14:solidFill>
              <w14:schemeClr w14:val="tx1"/>
            </w14:solidFill>
          </w14:textFill>
        </w:rPr>
        <w:t>官网</w:t>
      </w:r>
      <w:r>
        <w:rPr>
          <w:rFonts w:ascii="宋体" w:hAnsi="宋体"/>
          <w:color w:val="000000" w:themeColor="text1"/>
          <w:highlight w:val="none"/>
          <w14:textFill>
            <w14:solidFill>
              <w14:schemeClr w14:val="tx1"/>
            </w14:solidFill>
          </w14:textFill>
        </w:rPr>
        <w:t>上发布的补充比选文件造成的损失，由比选申请人自行负责。</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7.3 </w:t>
      </w:r>
      <w:r>
        <w:rPr>
          <w:rFonts w:ascii="宋体" w:hAnsi="宋体"/>
          <w:color w:val="000000" w:themeColor="text1"/>
          <w:highlight w:val="none"/>
          <w14:textFill>
            <w14:solidFill>
              <w14:schemeClr w14:val="tx1"/>
            </w14:solidFill>
          </w14:textFill>
        </w:rPr>
        <w:t>当后发的补遗或修改通知与原比选文件或此前发出的补遗或修改通知之间存有不一致时，应以后发的补遗或修改通知为准。</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7.4 </w:t>
      </w:r>
      <w:r>
        <w:rPr>
          <w:rFonts w:ascii="宋体" w:hAnsi="宋体"/>
          <w:color w:val="000000" w:themeColor="text1"/>
          <w:highlight w:val="none"/>
          <w14:textFill>
            <w14:solidFill>
              <w14:schemeClr w14:val="tx1"/>
            </w14:solidFill>
          </w14:textFill>
        </w:rPr>
        <w:t>为使比选申请人准备比选申请时有充分时间对比选文件的补遗或修改部分进行研究，</w:t>
      </w:r>
      <w:r>
        <w:rPr>
          <w:rFonts w:hint="eastAsia" w:ascii="宋体" w:hAnsi="宋体"/>
          <w:color w:val="000000" w:themeColor="text1"/>
          <w:highlight w:val="none"/>
          <w14:textFill>
            <w14:solidFill>
              <w14:schemeClr w14:val="tx1"/>
            </w14:solidFill>
          </w14:textFill>
        </w:rPr>
        <w:t>比选人</w:t>
      </w:r>
      <w:r>
        <w:rPr>
          <w:rFonts w:ascii="宋体" w:hAnsi="宋体"/>
          <w:color w:val="000000" w:themeColor="text1"/>
          <w:highlight w:val="none"/>
          <w14:textFill>
            <w14:solidFill>
              <w14:schemeClr w14:val="tx1"/>
            </w14:solidFill>
          </w14:textFill>
        </w:rPr>
        <w:t>可适当推迟比选申请截止</w:t>
      </w:r>
      <w:r>
        <w:rPr>
          <w:rFonts w:hint="eastAsia" w:ascii="宋体" w:hAnsi="宋体"/>
          <w:color w:val="000000" w:themeColor="text1"/>
          <w:highlight w:val="none"/>
          <w14:textFill>
            <w14:solidFill>
              <w14:schemeClr w14:val="tx1"/>
            </w14:solidFill>
          </w14:textFill>
        </w:rPr>
        <w:t>时间</w:t>
      </w:r>
      <w:r>
        <w:rPr>
          <w:rFonts w:ascii="宋体" w:hAnsi="宋体"/>
          <w:color w:val="000000" w:themeColor="text1"/>
          <w:highlight w:val="none"/>
          <w14:textFill>
            <w14:solidFill>
              <w14:schemeClr w14:val="tx1"/>
            </w14:solidFill>
          </w14:textFill>
        </w:rPr>
        <w:t>。</w:t>
      </w:r>
    </w:p>
    <w:p>
      <w:pPr>
        <w:pStyle w:val="3"/>
        <w:spacing w:after="0" w:afterAutospacing="0" w:line="360" w:lineRule="auto"/>
        <w:ind w:left="0" w:right="0" w:firstLine="482" w:firstLineChars="200"/>
        <w:rPr>
          <w:rFonts w:ascii="宋体" w:hAnsi="宋体" w:eastAsia="宋体"/>
          <w:color w:val="000000" w:themeColor="text1"/>
          <w:sz w:val="24"/>
          <w:szCs w:val="24"/>
          <w:highlight w:val="none"/>
          <w14:textFill>
            <w14:solidFill>
              <w14:schemeClr w14:val="tx1"/>
            </w14:solidFill>
          </w14:textFill>
        </w:rPr>
      </w:pPr>
      <w:bookmarkStart w:id="257" w:name="_Toc385427801"/>
      <w:bookmarkStart w:id="258" w:name="_Toc383891176"/>
      <w:bookmarkStart w:id="259" w:name="_Toc27913"/>
      <w:bookmarkStart w:id="260" w:name="_Toc17335"/>
      <w:bookmarkStart w:id="261" w:name="_Toc375039072"/>
      <w:bookmarkStart w:id="262" w:name="_Toc4718"/>
      <w:bookmarkStart w:id="263" w:name="_Toc24557"/>
      <w:bookmarkStart w:id="264" w:name="_Toc10869"/>
      <w:bookmarkStart w:id="265" w:name="_Toc492478726"/>
      <w:bookmarkStart w:id="266" w:name="_Toc12983513"/>
      <w:bookmarkStart w:id="267" w:name="_Toc18679"/>
      <w:bookmarkStart w:id="268" w:name="_Toc6715"/>
      <w:bookmarkStart w:id="269" w:name="_Toc17692"/>
      <w:bookmarkStart w:id="270" w:name="_Toc28044"/>
      <w:bookmarkStart w:id="271" w:name="_Toc30363"/>
      <w:bookmarkStart w:id="272" w:name="_Toc9387"/>
      <w:bookmarkStart w:id="273" w:name="_Toc16406"/>
      <w:bookmarkStart w:id="274" w:name="_Toc7604"/>
      <w:bookmarkStart w:id="275" w:name="_Toc25361"/>
      <w:bookmarkStart w:id="276" w:name="_Toc390098427"/>
      <w:bookmarkStart w:id="277" w:name="_Toc2902"/>
      <w:bookmarkStart w:id="278" w:name="_Toc5805"/>
      <w:bookmarkStart w:id="279" w:name="_Toc95"/>
      <w:bookmarkStart w:id="280" w:name="_Toc24759"/>
      <w:bookmarkStart w:id="281" w:name="_Toc114134616"/>
      <w:bookmarkStart w:id="282" w:name="_Toc14185"/>
      <w:r>
        <w:rPr>
          <w:rFonts w:hint="eastAsia" w:ascii="宋体" w:hAnsi="宋体" w:eastAsia="宋体"/>
          <w:color w:val="000000" w:themeColor="text1"/>
          <w:sz w:val="24"/>
          <w:szCs w:val="24"/>
          <w:highlight w:val="none"/>
          <w14:textFill>
            <w14:solidFill>
              <w14:schemeClr w14:val="tx1"/>
            </w14:solidFill>
          </w14:textFill>
        </w:rPr>
        <w:t>三、</w:t>
      </w:r>
      <w:r>
        <w:rPr>
          <w:rFonts w:ascii="宋体" w:hAnsi="宋体" w:eastAsia="宋体"/>
          <w:color w:val="000000" w:themeColor="text1"/>
          <w:sz w:val="24"/>
          <w:szCs w:val="24"/>
          <w:highlight w:val="none"/>
          <w14:textFill>
            <w14:solidFill>
              <w14:schemeClr w14:val="tx1"/>
            </w14:solidFill>
          </w14:textFill>
        </w:rPr>
        <w:t>比选申请文件的编制</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pPr>
        <w:pStyle w:val="4"/>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283" w:name="_Toc385427802"/>
      <w:bookmarkStart w:id="284" w:name="_Toc492478727"/>
      <w:bookmarkStart w:id="285" w:name="_Toc20025"/>
      <w:bookmarkStart w:id="286" w:name="_Toc26150"/>
      <w:bookmarkStart w:id="287" w:name="_Toc18350"/>
      <w:bookmarkStart w:id="288" w:name="_Toc13418"/>
      <w:bookmarkStart w:id="289" w:name="_Toc29862"/>
      <w:bookmarkStart w:id="290" w:name="_Toc23794"/>
      <w:bookmarkStart w:id="291" w:name="_Toc16435"/>
      <w:bookmarkStart w:id="292" w:name="_Toc2819"/>
      <w:bookmarkStart w:id="293" w:name="_Toc4384"/>
      <w:bookmarkStart w:id="294" w:name="_Toc21673"/>
      <w:bookmarkStart w:id="295" w:name="_Toc114134617"/>
      <w:bookmarkStart w:id="296" w:name="_Toc9592"/>
      <w:bookmarkStart w:id="297" w:name="_Toc5164"/>
      <w:bookmarkStart w:id="298" w:name="_Toc383891177"/>
      <w:bookmarkStart w:id="299" w:name="_Toc12074"/>
      <w:bookmarkStart w:id="300" w:name="_Toc12983514"/>
      <w:bookmarkStart w:id="301" w:name="_Toc390098428"/>
      <w:bookmarkStart w:id="302" w:name="_Toc375039073"/>
      <w:bookmarkStart w:id="303" w:name="_Toc26680"/>
      <w:bookmarkStart w:id="304" w:name="_Toc16186"/>
      <w:bookmarkStart w:id="305" w:name="_Toc32435"/>
      <w:bookmarkStart w:id="306" w:name="_Toc12456"/>
      <w:bookmarkStart w:id="307" w:name="_Toc1733"/>
      <w:bookmarkStart w:id="308" w:name="_Toc11259"/>
      <w:bookmarkStart w:id="309" w:name="_Toc25750600"/>
      <w:r>
        <w:rPr>
          <w:rFonts w:hint="eastAsia" w:ascii="宋体" w:hAnsi="宋体"/>
          <w:color w:val="000000" w:themeColor="text1"/>
          <w:sz w:val="21"/>
          <w:szCs w:val="21"/>
          <w:highlight w:val="none"/>
          <w14:textFill>
            <w14:solidFill>
              <w14:schemeClr w14:val="tx1"/>
            </w14:solidFill>
          </w14:textFill>
        </w:rPr>
        <w:t xml:space="preserve">8. </w:t>
      </w:r>
      <w:r>
        <w:rPr>
          <w:rFonts w:ascii="宋体" w:hAnsi="宋体"/>
          <w:color w:val="000000" w:themeColor="text1"/>
          <w:sz w:val="21"/>
          <w:szCs w:val="21"/>
          <w:highlight w:val="none"/>
          <w14:textFill>
            <w14:solidFill>
              <w14:schemeClr w14:val="tx1"/>
            </w14:solidFill>
          </w14:textFill>
        </w:rPr>
        <w:t>编制要求</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比选申请人应认真阅读比选文件的所有内容，按比选文件的要求提供比选申请文件，并保证提供的全部资料的真实性，以使其比选申请对比选文件作出实质性响应，否则，其比选申请将被否决。</w:t>
      </w:r>
    </w:p>
    <w:p>
      <w:pPr>
        <w:pStyle w:val="4"/>
        <w:numPr>
          <w:ilvl w:val="0"/>
          <w:numId w:val="2"/>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310" w:name="_Toc1047"/>
      <w:bookmarkStart w:id="311" w:name="_Toc25750601"/>
      <w:bookmarkStart w:id="312" w:name="_Toc385427803"/>
      <w:bookmarkStart w:id="313" w:name="_Toc492478728"/>
      <w:bookmarkStart w:id="314" w:name="_Toc25770"/>
      <w:bookmarkStart w:id="315" w:name="_Toc390098429"/>
      <w:bookmarkStart w:id="316" w:name="_Toc15570"/>
      <w:bookmarkStart w:id="317" w:name="_Toc9887"/>
      <w:bookmarkStart w:id="318" w:name="_Toc12207"/>
      <w:bookmarkStart w:id="319" w:name="_Toc114134618"/>
      <w:bookmarkStart w:id="320" w:name="_Toc3492"/>
      <w:bookmarkStart w:id="321" w:name="_Toc12983515"/>
      <w:bookmarkStart w:id="322" w:name="_Toc16237"/>
      <w:bookmarkStart w:id="323" w:name="_Toc17682"/>
      <w:bookmarkStart w:id="324" w:name="_Toc383891178"/>
      <w:bookmarkStart w:id="325" w:name="_Toc26753"/>
      <w:bookmarkStart w:id="326" w:name="_Toc28296"/>
      <w:bookmarkStart w:id="327" w:name="_Toc11161"/>
      <w:bookmarkStart w:id="328" w:name="_Toc19885"/>
      <w:bookmarkStart w:id="329" w:name="_Toc28065"/>
      <w:bookmarkStart w:id="330" w:name="_Toc375039074"/>
      <w:bookmarkStart w:id="331" w:name="_Toc22026"/>
      <w:bookmarkStart w:id="332" w:name="_Toc24935"/>
      <w:bookmarkStart w:id="333" w:name="_Toc11040"/>
      <w:bookmarkStart w:id="334" w:name="_Toc24857"/>
      <w:bookmarkStart w:id="335" w:name="_Toc10368"/>
      <w:bookmarkStart w:id="336" w:name="_Toc6261"/>
      <w:r>
        <w:rPr>
          <w:rFonts w:ascii="宋体" w:hAnsi="宋体"/>
          <w:color w:val="000000" w:themeColor="text1"/>
          <w:sz w:val="21"/>
          <w:szCs w:val="21"/>
          <w:highlight w:val="none"/>
          <w14:textFill>
            <w14:solidFill>
              <w14:schemeClr w14:val="tx1"/>
            </w14:solidFill>
          </w14:textFill>
        </w:rPr>
        <w:t>比选申请语言及计量单位</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9.1 </w:t>
      </w:r>
      <w:r>
        <w:rPr>
          <w:rFonts w:ascii="宋体" w:hAnsi="宋体"/>
          <w:color w:val="000000" w:themeColor="text1"/>
          <w:highlight w:val="none"/>
          <w14:textFill>
            <w14:solidFill>
              <w14:schemeClr w14:val="tx1"/>
            </w14:solidFill>
          </w14:textFill>
        </w:rPr>
        <w:t>比选申请人提交的比选申请文件以及比选申请人与比选人就比选申请交换的文件和来往信件应以简体中文书写，同时允许比选申请文件附有英文版作为参考。如中文版本与英文版本有不同的解释时，以中文版本的解释为准。比选申请人提交的支持文件和印制的文献可以使用英文，但相应内容应附有中文翻译。</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9.2 </w:t>
      </w:r>
      <w:r>
        <w:rPr>
          <w:rFonts w:ascii="宋体" w:hAnsi="宋体"/>
          <w:color w:val="000000" w:themeColor="text1"/>
          <w:highlight w:val="none"/>
          <w14:textFill>
            <w14:solidFill>
              <w14:schemeClr w14:val="tx1"/>
            </w14:solidFill>
          </w14:textFill>
        </w:rPr>
        <w:t>除在比选文件另有规定外，计量单位应使用中华人民共和国法定计量单位。</w:t>
      </w:r>
    </w:p>
    <w:p>
      <w:pPr>
        <w:pStyle w:val="4"/>
        <w:numPr>
          <w:ilvl w:val="0"/>
          <w:numId w:val="2"/>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337" w:name="_Toc390098430"/>
      <w:bookmarkStart w:id="338" w:name="_Toc22476"/>
      <w:bookmarkStart w:id="339" w:name="_Toc383891179"/>
      <w:bookmarkStart w:id="340" w:name="_Toc18149"/>
      <w:bookmarkStart w:id="341" w:name="_Toc14323"/>
      <w:bookmarkStart w:id="342" w:name="_Toc375039075"/>
      <w:bookmarkStart w:id="343" w:name="_Toc25750602"/>
      <w:bookmarkStart w:id="344" w:name="_Toc23229"/>
      <w:bookmarkStart w:id="345" w:name="_Toc23364"/>
      <w:bookmarkStart w:id="346" w:name="_Toc30991"/>
      <w:bookmarkStart w:id="347" w:name="_Toc22703"/>
      <w:bookmarkStart w:id="348" w:name="_Toc29881"/>
      <w:bookmarkStart w:id="349" w:name="_Toc15809"/>
      <w:bookmarkStart w:id="350" w:name="_Toc3877"/>
      <w:bookmarkStart w:id="351" w:name="_Toc3411"/>
      <w:bookmarkStart w:id="352" w:name="_Toc12983516"/>
      <w:bookmarkStart w:id="353" w:name="_Toc30356"/>
      <w:bookmarkStart w:id="354" w:name="_Toc114134619"/>
      <w:bookmarkStart w:id="355" w:name="_Toc492478729"/>
      <w:bookmarkStart w:id="356" w:name="_Toc24760"/>
      <w:bookmarkStart w:id="357" w:name="_Toc16307"/>
      <w:bookmarkStart w:id="358" w:name="_Toc28164"/>
      <w:bookmarkStart w:id="359" w:name="_Toc14869"/>
      <w:bookmarkStart w:id="360" w:name="_Toc3464"/>
      <w:bookmarkStart w:id="361" w:name="_Toc19681"/>
      <w:bookmarkStart w:id="362" w:name="_Toc53"/>
      <w:bookmarkStart w:id="363" w:name="_Toc385427804"/>
      <w:r>
        <w:rPr>
          <w:rFonts w:ascii="宋体" w:hAnsi="宋体"/>
          <w:color w:val="000000" w:themeColor="text1"/>
          <w:sz w:val="21"/>
          <w:szCs w:val="21"/>
          <w:highlight w:val="none"/>
          <w14:textFill>
            <w14:solidFill>
              <w14:schemeClr w14:val="tx1"/>
            </w14:solidFill>
          </w14:textFill>
        </w:rPr>
        <w:t>比选申请文件组成</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pPr>
        <w:tabs>
          <w:tab w:val="left" w:pos="1134"/>
          <w:tab w:val="left" w:pos="1701"/>
          <w:tab w:val="left" w:pos="1843"/>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10.1 </w:t>
      </w:r>
      <w:r>
        <w:rPr>
          <w:rFonts w:ascii="宋体" w:hAnsi="宋体"/>
          <w:color w:val="000000" w:themeColor="text1"/>
          <w:highlight w:val="none"/>
          <w14:textFill>
            <w14:solidFill>
              <w14:schemeClr w14:val="tx1"/>
            </w14:solidFill>
          </w14:textFill>
        </w:rPr>
        <w:t>比选申请文件应提供足够、准确和真实的信息，以供评审委员会判断比选申请人是否具备承担本项目的能力。比选申请人递交的比选申请文件</w:t>
      </w:r>
      <w:r>
        <w:rPr>
          <w:rFonts w:hint="eastAsia" w:ascii="宋体" w:hAnsi="宋体"/>
          <w:color w:val="000000" w:themeColor="text1"/>
          <w:highlight w:val="none"/>
          <w14:textFill>
            <w14:solidFill>
              <w14:schemeClr w14:val="tx1"/>
            </w14:solidFill>
          </w14:textFill>
        </w:rPr>
        <w:t>组成详见比选申请须知前附表</w:t>
      </w:r>
      <w:r>
        <w:rPr>
          <w:rFonts w:ascii="宋体" w:hAnsi="宋体"/>
          <w:color w:val="000000" w:themeColor="text1"/>
          <w:highlight w:val="none"/>
          <w14:textFill>
            <w14:solidFill>
              <w14:schemeClr w14:val="tx1"/>
            </w14:solidFill>
          </w14:textFill>
        </w:rPr>
        <w:t>。</w:t>
      </w:r>
    </w:p>
    <w:p>
      <w:pPr>
        <w:tabs>
          <w:tab w:val="left" w:pos="1134"/>
          <w:tab w:val="left" w:pos="1701"/>
          <w:tab w:val="left" w:pos="1843"/>
        </w:tabs>
        <w:spacing w:before="0" w:after="0" w:afterAutospacing="0"/>
        <w:ind w:left="0" w:right="0" w:firstLine="422" w:firstLineChars="200"/>
        <w:rPr>
          <w:rFonts w:ascii="宋体" w:hAnsi="宋体"/>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10.2资格审查文件和技术文件不得透露有关报价的任何信息，否则其比选申请将被否决。</w:t>
      </w:r>
    </w:p>
    <w:p>
      <w:pPr>
        <w:pStyle w:val="4"/>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364" w:name="_Toc492478730"/>
      <w:bookmarkStart w:id="365" w:name="_Toc14308"/>
      <w:bookmarkStart w:id="366" w:name="_Toc27019"/>
      <w:bookmarkStart w:id="367" w:name="_Toc20248"/>
      <w:bookmarkStart w:id="368" w:name="_Toc25750603"/>
      <w:bookmarkStart w:id="369" w:name="_Toc3670"/>
      <w:bookmarkStart w:id="370" w:name="_Toc14630"/>
      <w:bookmarkStart w:id="371" w:name="_Toc16783"/>
      <w:bookmarkStart w:id="372" w:name="_Toc390098431"/>
      <w:bookmarkStart w:id="373" w:name="_Toc114134620"/>
      <w:bookmarkStart w:id="374" w:name="_Toc15919"/>
      <w:bookmarkStart w:id="375" w:name="_Toc375039076"/>
      <w:bookmarkStart w:id="376" w:name="_Toc675"/>
      <w:bookmarkStart w:id="377" w:name="_Toc12983517"/>
      <w:bookmarkStart w:id="378" w:name="_Toc8151"/>
      <w:bookmarkStart w:id="379" w:name="_Toc27194"/>
      <w:bookmarkStart w:id="380" w:name="_Toc15448"/>
      <w:bookmarkStart w:id="381" w:name="_Toc21144"/>
      <w:bookmarkStart w:id="382" w:name="_Toc385427805"/>
      <w:bookmarkStart w:id="383" w:name="_Toc20490"/>
      <w:bookmarkStart w:id="384" w:name="_Toc26062"/>
      <w:bookmarkStart w:id="385" w:name="_Toc14932"/>
      <w:bookmarkStart w:id="386" w:name="_Toc7608"/>
      <w:bookmarkStart w:id="387" w:name="_Toc11211"/>
      <w:bookmarkStart w:id="388" w:name="_Toc383891180"/>
      <w:bookmarkStart w:id="389" w:name="_Toc23002"/>
      <w:bookmarkStart w:id="390" w:name="_Toc2395"/>
      <w:r>
        <w:rPr>
          <w:rFonts w:hint="eastAsia" w:ascii="宋体" w:hAnsi="宋体"/>
          <w:color w:val="000000" w:themeColor="text1"/>
          <w:sz w:val="21"/>
          <w:szCs w:val="21"/>
          <w:highlight w:val="none"/>
          <w14:textFill>
            <w14:solidFill>
              <w14:schemeClr w14:val="tx1"/>
            </w14:solidFill>
          </w14:textFill>
        </w:rPr>
        <w:t xml:space="preserve">11. </w:t>
      </w:r>
      <w:r>
        <w:rPr>
          <w:rFonts w:ascii="宋体" w:hAnsi="宋体"/>
          <w:color w:val="000000" w:themeColor="text1"/>
          <w:sz w:val="21"/>
          <w:szCs w:val="21"/>
          <w:highlight w:val="none"/>
          <w14:textFill>
            <w14:solidFill>
              <w14:schemeClr w14:val="tx1"/>
            </w14:solidFill>
          </w14:textFill>
        </w:rPr>
        <w:t>比选申请文件格式</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11.1 </w:t>
      </w:r>
      <w:r>
        <w:rPr>
          <w:rFonts w:ascii="宋体" w:hAnsi="宋体"/>
          <w:color w:val="000000" w:themeColor="text1"/>
          <w:highlight w:val="none"/>
          <w14:textFill>
            <w14:solidFill>
              <w14:schemeClr w14:val="tx1"/>
            </w14:solidFill>
          </w14:textFill>
        </w:rPr>
        <w:t>比选申请人应按本比选申请须知第10条的内容与要求和提供的格式编写其比选申请文件，比选申请人不得缺少或留空任何比选文件要求填写的表格或提交的资料。</w:t>
      </w:r>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11.2 </w:t>
      </w:r>
      <w:r>
        <w:rPr>
          <w:rFonts w:ascii="宋体" w:hAnsi="宋体"/>
          <w:color w:val="000000" w:themeColor="text1"/>
          <w:highlight w:val="none"/>
          <w14:textFill>
            <w14:solidFill>
              <w14:schemeClr w14:val="tx1"/>
            </w14:solidFill>
          </w14:textFill>
        </w:rPr>
        <w:t>比选申请人应将比选申请文件按本比选申请须知第10条规定的顺序编排、编制目录、逐页标注连续页码、并装订成册，各分册前须有分册目录。</w:t>
      </w:r>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11.3 </w:t>
      </w:r>
      <w:r>
        <w:rPr>
          <w:rFonts w:ascii="宋体" w:hAnsi="宋体"/>
          <w:color w:val="000000" w:themeColor="text1"/>
          <w:highlight w:val="none"/>
          <w14:textFill>
            <w14:solidFill>
              <w14:schemeClr w14:val="tx1"/>
            </w14:solidFill>
          </w14:textFill>
        </w:rPr>
        <w:t>比选申请文件的规格：统一为A4印刷本，纸质封面，印刷本厚度</w:t>
      </w:r>
      <w:r>
        <w:rPr>
          <w:rFonts w:hint="eastAsia" w:ascii="宋体" w:hAnsi="宋体"/>
          <w:color w:val="000000" w:themeColor="text1"/>
          <w:highlight w:val="none"/>
          <w14:textFill>
            <w14:solidFill>
              <w14:schemeClr w14:val="tx1"/>
            </w14:solidFill>
          </w14:textFill>
        </w:rPr>
        <w:t>宜</w:t>
      </w:r>
      <w:r>
        <w:rPr>
          <w:rFonts w:ascii="宋体" w:hAnsi="宋体"/>
          <w:color w:val="000000" w:themeColor="text1"/>
          <w:highlight w:val="none"/>
          <w14:textFill>
            <w14:solidFill>
              <w14:schemeClr w14:val="tx1"/>
            </w14:solidFill>
          </w14:textFill>
        </w:rPr>
        <w:t>控制在</w:t>
      </w:r>
      <w:r>
        <w:rPr>
          <w:rFonts w:hint="eastAsia" w:ascii="宋体" w:hAnsi="宋体"/>
          <w:color w:val="000000" w:themeColor="text1"/>
          <w:highlight w:val="none"/>
          <w14:textFill>
            <w14:solidFill>
              <w14:schemeClr w14:val="tx1"/>
            </w14:solidFill>
          </w14:textFill>
        </w:rPr>
        <w:t>5</w:t>
      </w:r>
      <w:r>
        <w:rPr>
          <w:rFonts w:ascii="宋体" w:hAnsi="宋体"/>
          <w:color w:val="000000" w:themeColor="text1"/>
          <w:highlight w:val="none"/>
          <w14:textFill>
            <w14:solidFill>
              <w14:schemeClr w14:val="tx1"/>
            </w14:solidFill>
          </w14:textFill>
        </w:rPr>
        <w:t>公分以内，超过厚度</w:t>
      </w:r>
      <w:r>
        <w:rPr>
          <w:rFonts w:hint="eastAsia" w:ascii="宋体" w:hAnsi="宋体"/>
          <w:color w:val="000000" w:themeColor="text1"/>
          <w:highlight w:val="none"/>
          <w14:textFill>
            <w14:solidFill>
              <w14:schemeClr w14:val="tx1"/>
            </w14:solidFill>
          </w14:textFill>
        </w:rPr>
        <w:t>可</w:t>
      </w:r>
      <w:r>
        <w:rPr>
          <w:rFonts w:ascii="宋体" w:hAnsi="宋体"/>
          <w:color w:val="000000" w:themeColor="text1"/>
          <w:highlight w:val="none"/>
          <w14:textFill>
            <w14:solidFill>
              <w14:schemeClr w14:val="tx1"/>
            </w14:solidFill>
          </w14:textFill>
        </w:rPr>
        <w:t>分册装订。封面标明文件题名、编号、比选申请人名称、比选申请时间，</w:t>
      </w:r>
      <w:r>
        <w:rPr>
          <w:rFonts w:hint="eastAsia" w:ascii="宋体" w:hAnsi="宋体"/>
          <w:color w:val="000000" w:themeColor="text1"/>
          <w:highlight w:val="none"/>
          <w14:textFill>
            <w14:solidFill>
              <w14:schemeClr w14:val="tx1"/>
            </w14:solidFill>
          </w14:textFill>
        </w:rPr>
        <w:t>封面上标明</w:t>
      </w:r>
      <w:r>
        <w:rPr>
          <w:rFonts w:ascii="宋体" w:hAnsi="宋体"/>
          <w:color w:val="000000" w:themeColor="text1"/>
          <w:highlight w:val="none"/>
          <w14:textFill>
            <w14:solidFill>
              <w14:schemeClr w14:val="tx1"/>
            </w14:solidFill>
          </w14:textFill>
        </w:rPr>
        <w:t>正本（或副本）。</w:t>
      </w:r>
      <w:r>
        <w:rPr>
          <w:rFonts w:hint="eastAsia" w:ascii="宋体" w:hAnsi="宋体"/>
          <w:color w:val="000000" w:themeColor="text1"/>
          <w:highlight w:val="none"/>
          <w14:textFill>
            <w14:solidFill>
              <w14:schemeClr w14:val="tx1"/>
            </w14:solidFill>
          </w14:textFill>
        </w:rPr>
        <w:t>使用不锈钢书钉或拉线装订或无线胶装</w:t>
      </w:r>
      <w:r>
        <w:rPr>
          <w:rFonts w:ascii="宋体" w:hAnsi="宋体"/>
          <w:color w:val="000000" w:themeColor="text1"/>
          <w:highlight w:val="none"/>
          <w14:textFill>
            <w14:solidFill>
              <w14:schemeClr w14:val="tx1"/>
            </w14:solidFill>
          </w14:textFill>
        </w:rPr>
        <w:t>，装订时书钉不外露；不能使用塑料面或塑料胶条装订。</w:t>
      </w:r>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11.4</w:t>
      </w:r>
      <w:r>
        <w:rPr>
          <w:rFonts w:ascii="宋体" w:hAnsi="宋体"/>
          <w:color w:val="000000" w:themeColor="text1"/>
          <w:highlight w:val="none"/>
          <w14:textFill>
            <w14:solidFill>
              <w14:schemeClr w14:val="tx1"/>
            </w14:solidFill>
          </w14:textFill>
        </w:rPr>
        <w:t>比选申请文件的页码：必须按每本</w:t>
      </w:r>
      <w:r>
        <w:rPr>
          <w:rFonts w:hint="eastAsia" w:ascii="宋体" w:hAnsi="宋体"/>
          <w:color w:val="000000" w:themeColor="text1"/>
          <w:highlight w:val="none"/>
          <w14:textFill>
            <w14:solidFill>
              <w14:schemeClr w14:val="tx1"/>
            </w14:solidFill>
          </w14:textFill>
        </w:rPr>
        <w:t>正文</w:t>
      </w:r>
      <w:r>
        <w:rPr>
          <w:rFonts w:ascii="宋体" w:hAnsi="宋体"/>
          <w:color w:val="000000" w:themeColor="text1"/>
          <w:highlight w:val="none"/>
          <w14:textFill>
            <w14:solidFill>
              <w14:schemeClr w14:val="tx1"/>
            </w14:solidFill>
          </w14:textFill>
        </w:rPr>
        <w:t>逐页从1开始，按照流水号编号。</w:t>
      </w:r>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11.5</w:t>
      </w:r>
      <w:r>
        <w:rPr>
          <w:rFonts w:ascii="宋体" w:hAnsi="宋体"/>
          <w:color w:val="000000" w:themeColor="text1"/>
          <w:highlight w:val="none"/>
          <w14:textFill>
            <w14:solidFill>
              <w14:schemeClr w14:val="tx1"/>
            </w14:solidFill>
          </w14:textFill>
        </w:rPr>
        <w:t>图纸的整理：图纸横向按手风琴折叠，竖向按顺时针方向折叠，折叠后图标露在右下角，每本图纸厚度不</w:t>
      </w:r>
      <w:r>
        <w:rPr>
          <w:rFonts w:hint="eastAsia" w:ascii="宋体" w:hAnsi="宋体"/>
          <w:color w:val="000000" w:themeColor="text1"/>
          <w:highlight w:val="none"/>
          <w14:textFill>
            <w14:solidFill>
              <w14:schemeClr w14:val="tx1"/>
            </w14:solidFill>
          </w14:textFill>
        </w:rPr>
        <w:t>宜</w:t>
      </w:r>
      <w:r>
        <w:rPr>
          <w:rFonts w:ascii="宋体" w:hAnsi="宋体"/>
          <w:color w:val="000000" w:themeColor="text1"/>
          <w:highlight w:val="none"/>
          <w14:textFill>
            <w14:solidFill>
              <w14:schemeClr w14:val="tx1"/>
            </w14:solidFill>
          </w14:textFill>
        </w:rPr>
        <w:t>超过4公分，超过</w:t>
      </w:r>
      <w:r>
        <w:rPr>
          <w:rFonts w:hint="eastAsia" w:ascii="宋体" w:hAnsi="宋体"/>
          <w:color w:val="000000" w:themeColor="text1"/>
          <w:highlight w:val="none"/>
          <w14:textFill>
            <w14:solidFill>
              <w14:schemeClr w14:val="tx1"/>
            </w14:solidFill>
          </w14:textFill>
        </w:rPr>
        <w:t>可</w:t>
      </w:r>
      <w:r>
        <w:rPr>
          <w:rFonts w:ascii="宋体" w:hAnsi="宋体"/>
          <w:color w:val="000000" w:themeColor="text1"/>
          <w:highlight w:val="none"/>
          <w14:textFill>
            <w14:solidFill>
              <w14:schemeClr w14:val="tx1"/>
            </w14:solidFill>
          </w14:textFill>
        </w:rPr>
        <w:t>分卷装订，每卷图纸从图纸封面起逐张从1开始</w:t>
      </w:r>
      <w:r>
        <w:rPr>
          <w:rFonts w:hint="eastAsia" w:ascii="宋体" w:hAnsi="宋体"/>
          <w:color w:val="000000" w:themeColor="text1"/>
          <w:highlight w:val="none"/>
          <w14:textFill>
            <w14:solidFill>
              <w14:schemeClr w14:val="tx1"/>
            </w14:solidFill>
          </w14:textFill>
        </w:rPr>
        <w:t>，</w:t>
      </w:r>
      <w:r>
        <w:rPr>
          <w:rFonts w:ascii="宋体" w:hAnsi="宋体"/>
          <w:color w:val="000000" w:themeColor="text1"/>
          <w:highlight w:val="none"/>
          <w14:textFill>
            <w14:solidFill>
              <w14:schemeClr w14:val="tx1"/>
            </w14:solidFill>
          </w14:textFill>
        </w:rPr>
        <w:t>按照流水号编号。</w:t>
      </w:r>
    </w:p>
    <w:p>
      <w:pPr>
        <w:pStyle w:val="4"/>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391" w:name="_Toc17379"/>
      <w:bookmarkStart w:id="392" w:name="_Toc492478731"/>
      <w:bookmarkStart w:id="393" w:name="_Toc24264"/>
      <w:bookmarkStart w:id="394" w:name="_Toc17338"/>
      <w:bookmarkStart w:id="395" w:name="_Toc26482"/>
      <w:bookmarkStart w:id="396" w:name="_Toc21084"/>
      <w:bookmarkStart w:id="397" w:name="_Toc383891181"/>
      <w:bookmarkStart w:id="398" w:name="_Toc12983518"/>
      <w:bookmarkStart w:id="399" w:name="_Toc12830"/>
      <w:bookmarkStart w:id="400" w:name="_Toc3813"/>
      <w:bookmarkStart w:id="401" w:name="_Toc17526"/>
      <w:bookmarkStart w:id="402" w:name="_Toc22295"/>
      <w:bookmarkStart w:id="403" w:name="_Toc3799"/>
      <w:bookmarkStart w:id="404" w:name="_Toc385427806"/>
      <w:bookmarkStart w:id="405" w:name="_Toc26974"/>
      <w:bookmarkStart w:id="406" w:name="_Toc20685"/>
      <w:bookmarkStart w:id="407" w:name="_Toc6671"/>
      <w:bookmarkStart w:id="408" w:name="_Toc16653"/>
      <w:bookmarkStart w:id="409" w:name="_Toc390098432"/>
      <w:bookmarkStart w:id="410" w:name="_Toc7857"/>
      <w:bookmarkStart w:id="411" w:name="_Toc375039077"/>
      <w:bookmarkStart w:id="412" w:name="_Toc9416"/>
      <w:bookmarkStart w:id="413" w:name="_Toc12422"/>
      <w:bookmarkStart w:id="414" w:name="_Toc114134621"/>
      <w:bookmarkStart w:id="415" w:name="_Toc25750604"/>
      <w:bookmarkStart w:id="416" w:name="_Toc31743"/>
      <w:bookmarkStart w:id="417" w:name="_Toc14123"/>
      <w:r>
        <w:rPr>
          <w:rFonts w:hint="eastAsia" w:ascii="宋体" w:hAnsi="宋体"/>
          <w:color w:val="000000" w:themeColor="text1"/>
          <w:sz w:val="21"/>
          <w:szCs w:val="21"/>
          <w:highlight w:val="none"/>
          <w14:textFill>
            <w14:solidFill>
              <w14:schemeClr w14:val="tx1"/>
            </w14:solidFill>
          </w14:textFill>
        </w:rPr>
        <w:t xml:space="preserve">12. </w:t>
      </w:r>
      <w:r>
        <w:rPr>
          <w:rFonts w:ascii="宋体" w:hAnsi="宋体"/>
          <w:color w:val="000000" w:themeColor="text1"/>
          <w:sz w:val="21"/>
          <w:szCs w:val="21"/>
          <w:highlight w:val="none"/>
          <w14:textFill>
            <w14:solidFill>
              <w14:schemeClr w14:val="tx1"/>
            </w14:solidFill>
          </w14:textFill>
        </w:rPr>
        <w:t>比选申请报价</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 xml:space="preserve">12.1 </w:t>
      </w:r>
      <w:r>
        <w:rPr>
          <w:rFonts w:hint="eastAsia" w:ascii="宋体" w:hAnsi="宋体"/>
          <w:color w:val="000000" w:themeColor="text1"/>
          <w:highlight w:val="none"/>
          <w14:textFill>
            <w14:solidFill>
              <w14:schemeClr w14:val="tx1"/>
            </w14:solidFill>
          </w14:textFill>
        </w:rPr>
        <w:t>本项目采用</w:t>
      </w:r>
      <w:r>
        <w:rPr>
          <w:rFonts w:hint="eastAsia" w:ascii="宋体" w:hAnsi="宋体"/>
          <w:b/>
          <w:bCs/>
          <w:color w:val="000000" w:themeColor="text1"/>
          <w:highlight w:val="none"/>
          <w14:textFill>
            <w14:solidFill>
              <w14:schemeClr w14:val="tx1"/>
            </w14:solidFill>
          </w14:textFill>
        </w:rPr>
        <w:t>不含税报价</w:t>
      </w:r>
      <w:r>
        <w:rPr>
          <w:rFonts w:hint="eastAsia" w:ascii="宋体" w:hAnsi="宋体"/>
          <w:color w:val="000000" w:themeColor="text1"/>
          <w:highlight w:val="none"/>
          <w14:textFill>
            <w14:solidFill>
              <w14:schemeClr w14:val="tx1"/>
            </w14:solidFill>
          </w14:textFill>
        </w:rPr>
        <w:t>进行商务评审。</w:t>
      </w:r>
      <w:r>
        <w:rPr>
          <w:rFonts w:ascii="宋体" w:hAnsi="宋体"/>
          <w:b/>
          <w:bCs/>
          <w:color w:val="000000" w:themeColor="text1"/>
          <w:highlight w:val="none"/>
          <w14:textFill>
            <w14:solidFill>
              <w14:schemeClr w14:val="tx1"/>
            </w14:solidFill>
          </w14:textFill>
        </w:rPr>
        <w:t>含税报价为合同暂定价</w:t>
      </w:r>
      <w:r>
        <w:rPr>
          <w:rFonts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本项目合同最终税金在结算阶段，按实际产生的税金进行核算</w:t>
      </w:r>
      <w:r>
        <w:rPr>
          <w:rFonts w:ascii="宋体" w:hAnsi="宋体"/>
          <w:color w:val="000000" w:themeColor="text1"/>
          <w:highlight w:val="none"/>
          <w14:textFill>
            <w14:solidFill>
              <w14:schemeClr w14:val="tx1"/>
            </w14:solidFill>
          </w14:textFill>
        </w:rPr>
        <w:t>，但合同不含税价格不因国家税率调整而调整</w:t>
      </w:r>
      <w:r>
        <w:rPr>
          <w:rFonts w:hint="eastAsia" w:ascii="宋体" w:hAnsi="宋体"/>
          <w:color w:val="000000" w:themeColor="text1"/>
          <w:highlight w:val="none"/>
          <w14:textFill>
            <w14:solidFill>
              <w14:schemeClr w14:val="tx1"/>
            </w14:solidFill>
          </w14:textFill>
        </w:rPr>
        <w:t>。比选申请人应</w:t>
      </w:r>
      <w:r>
        <w:rPr>
          <w:rFonts w:ascii="宋体" w:hAnsi="宋体"/>
          <w:color w:val="000000" w:themeColor="text1"/>
          <w:highlight w:val="none"/>
          <w14:textFill>
            <w14:solidFill>
              <w14:schemeClr w14:val="tx1"/>
            </w14:solidFill>
          </w14:textFill>
        </w:rPr>
        <w:t>完整</w:t>
      </w:r>
      <w:r>
        <w:rPr>
          <w:rFonts w:hint="eastAsia" w:ascii="宋体" w:hAnsi="宋体"/>
          <w:color w:val="000000" w:themeColor="text1"/>
          <w:highlight w:val="none"/>
          <w14:textFill>
            <w14:solidFill>
              <w14:schemeClr w14:val="tx1"/>
            </w14:solidFill>
          </w14:textFill>
        </w:rPr>
        <w:t>地填写比选文件中提供的“比选申请报价一览表”。比选申请人在 “比选申请报价一览表”内所填报的总价应相一致。如大写金额与小写金额不一致，以大写金额为准。</w:t>
      </w:r>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 xml:space="preserve">12.2 </w:t>
      </w:r>
      <w:r>
        <w:rPr>
          <w:rFonts w:hint="eastAsia" w:ascii="宋体" w:hAnsi="宋体"/>
          <w:color w:val="000000" w:themeColor="text1"/>
          <w:highlight w:val="none"/>
          <w14:textFill>
            <w14:solidFill>
              <w14:schemeClr w14:val="tx1"/>
            </w14:solidFill>
          </w14:textFill>
        </w:rPr>
        <w:t>比选申请报价应包括比选申请人完成所有项目内容及质量保证期服务等履行合同标的全过程产生的所有成本、利润及其他费用等全部费用以及比选申请人应承担的费用。</w:t>
      </w:r>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12.3 比选申请人应根据比选文件的要求及项目的实际需要自行考虑并完善完成项目、服务和施工安装（如有）内容。比选申请报价应将所有内容考虑在内，不得漏项或缺项。比选申请人应逐项计算并填写单价、合价和总价，比选申请人没有填写单价和合价的项目将视为缺项。</w:t>
      </w:r>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12.</w:t>
      </w:r>
      <w:r>
        <w:rPr>
          <w:rFonts w:ascii="宋体" w:hAnsi="宋体"/>
          <w:color w:val="000000" w:themeColor="text1"/>
          <w:highlight w:val="none"/>
          <w14:textFill>
            <w14:solidFill>
              <w14:schemeClr w14:val="tx1"/>
            </w14:solidFill>
          </w14:textFill>
        </w:rPr>
        <w:t>4</w:t>
      </w:r>
      <w:r>
        <w:rPr>
          <w:rFonts w:hint="eastAsia" w:ascii="宋体" w:hAnsi="宋体"/>
          <w:color w:val="000000" w:themeColor="text1"/>
          <w:highlight w:val="none"/>
          <w14:textFill>
            <w14:solidFill>
              <w14:schemeClr w14:val="tx1"/>
            </w14:solidFill>
          </w14:textFill>
        </w:rPr>
        <w:t xml:space="preserve"> 同一规格、型号、标准、内容的项目在各分项报价中应为同一单价。比选申请人对同类项目只允许有一个报价，如有不同报价，则以最低报价为准。</w:t>
      </w:r>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12.5</w:t>
      </w:r>
      <w:r>
        <w:rPr>
          <w:rFonts w:hint="eastAsia" w:ascii="宋体" w:hAnsi="宋体"/>
          <w:color w:val="000000" w:themeColor="text1"/>
          <w:highlight w:val="none"/>
          <w14:textFill>
            <w14:solidFill>
              <w14:schemeClr w14:val="tx1"/>
            </w14:solidFill>
          </w14:textFill>
        </w:rPr>
        <w:t>项目不接受</w:t>
      </w:r>
      <w:r>
        <w:rPr>
          <w:rFonts w:ascii="宋体" w:hAnsi="宋体"/>
          <w:color w:val="000000" w:themeColor="text1"/>
          <w:highlight w:val="none"/>
          <w14:textFill>
            <w14:solidFill>
              <w14:schemeClr w14:val="tx1"/>
            </w14:solidFill>
          </w14:textFill>
        </w:rPr>
        <w:t>比选申请人免费</w:t>
      </w:r>
      <w:r>
        <w:rPr>
          <w:rFonts w:hint="eastAsia" w:ascii="宋体" w:hAnsi="宋体"/>
          <w:color w:val="000000" w:themeColor="text1"/>
          <w:highlight w:val="none"/>
          <w14:textFill>
            <w14:solidFill>
              <w14:schemeClr w14:val="tx1"/>
            </w14:solidFill>
          </w14:textFill>
        </w:rPr>
        <w:t>、赠送、打折</w:t>
      </w:r>
      <w:r>
        <w:rPr>
          <w:rFonts w:ascii="宋体" w:hAnsi="宋体"/>
          <w:color w:val="000000" w:themeColor="text1"/>
          <w:highlight w:val="none"/>
          <w14:textFill>
            <w14:solidFill>
              <w14:schemeClr w14:val="tx1"/>
            </w14:solidFill>
          </w14:textFill>
        </w:rPr>
        <w:t>提供</w:t>
      </w:r>
      <w:r>
        <w:rPr>
          <w:rFonts w:hint="eastAsia" w:ascii="宋体" w:hAnsi="宋体"/>
          <w:color w:val="000000" w:themeColor="text1"/>
          <w:highlight w:val="none"/>
          <w14:textFill>
            <w14:solidFill>
              <w14:schemeClr w14:val="tx1"/>
            </w14:solidFill>
          </w14:textFill>
        </w:rPr>
        <w:t>任何形式的</w:t>
      </w:r>
      <w:r>
        <w:rPr>
          <w:rFonts w:ascii="宋体" w:hAnsi="宋体"/>
          <w:color w:val="000000" w:themeColor="text1"/>
          <w:highlight w:val="none"/>
          <w14:textFill>
            <w14:solidFill>
              <w14:schemeClr w14:val="tx1"/>
            </w14:solidFill>
          </w14:textFill>
        </w:rPr>
        <w:t>产品、部件</w:t>
      </w:r>
      <w:r>
        <w:rPr>
          <w:rFonts w:hint="eastAsia" w:ascii="宋体" w:hAnsi="宋体"/>
          <w:color w:val="000000" w:themeColor="text1"/>
          <w:highlight w:val="none"/>
          <w14:textFill>
            <w14:solidFill>
              <w14:schemeClr w14:val="tx1"/>
            </w14:solidFill>
          </w14:textFill>
        </w:rPr>
        <w:t>和服务。</w:t>
      </w:r>
    </w:p>
    <w:p>
      <w:pPr>
        <w:tabs>
          <w:tab w:val="left" w:pos="8364"/>
        </w:tabs>
        <w:spacing w:before="0" w:after="0" w:afterAutospacing="0"/>
        <w:ind w:left="0" w:right="0" w:firstLine="420" w:firstLineChars="200"/>
        <w:rPr>
          <w:rFonts w:ascii="宋体" w:hAnsi="宋体" w:cs="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12.6比选申请人在编制比选申请报价时应考虑包括但不限于合同实施期间政策、法规变化以及汇率浮动、物价指数浮动等对价格的影响，以可调整的价</w:t>
      </w:r>
      <w:r>
        <w:rPr>
          <w:rFonts w:ascii="宋体" w:hAnsi="宋体" w:cs="宋体"/>
          <w:color w:val="000000" w:themeColor="text1"/>
          <w:highlight w:val="none"/>
          <w14:textFill>
            <w14:solidFill>
              <w14:schemeClr w14:val="tx1"/>
            </w14:solidFill>
          </w14:textFill>
        </w:rPr>
        <w:t xml:space="preserve">格或以选择性报价递交的比选申请文件将作为非实质性响应比选申请而被否决。 </w:t>
      </w:r>
    </w:p>
    <w:p>
      <w:pPr>
        <w:tabs>
          <w:tab w:val="left" w:pos="8364"/>
        </w:tabs>
        <w:spacing w:before="0" w:after="0" w:afterAutospacing="0"/>
        <w:ind w:left="0" w:right="0" w:firstLine="420" w:firstLineChars="200"/>
        <w:rPr>
          <w:rFonts w:ascii="宋体" w:hAnsi="宋体"/>
          <w:b/>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12.</w:t>
      </w:r>
      <w:r>
        <w:rPr>
          <w:rFonts w:hint="eastAsia" w:ascii="宋体" w:hAnsi="宋体"/>
          <w:color w:val="000000" w:themeColor="text1"/>
          <w:highlight w:val="none"/>
          <w14:textFill>
            <w14:solidFill>
              <w14:schemeClr w14:val="tx1"/>
            </w14:solidFill>
          </w14:textFill>
        </w:rPr>
        <w:t>7</w:t>
      </w:r>
      <w:r>
        <w:rPr>
          <w:rFonts w:hint="eastAsia" w:ascii="宋体" w:hAnsi="宋体"/>
          <w:b/>
          <w:color w:val="000000" w:themeColor="text1"/>
          <w:highlight w:val="none"/>
          <w14:textFill>
            <w14:solidFill>
              <w14:schemeClr w14:val="tx1"/>
            </w14:solidFill>
          </w14:textFill>
        </w:rPr>
        <w:t>比选申请人不得以低于成本的报价竞标，也不得以他人名义比选申请或者以其他方式弄虚作假，骗取中选。</w:t>
      </w:r>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12.8 比选人不接受比选申请人对任何未办理正常进口手续的非中华人民共和国境内生产的货物的比选申请报价。</w:t>
      </w:r>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12.9 比选申请人不得在价格文件之外的比选申请文件中出现任何有关本项目的报价信息。</w:t>
      </w:r>
    </w:p>
    <w:p>
      <w:pPr>
        <w:pStyle w:val="4"/>
        <w:numPr>
          <w:ilvl w:val="0"/>
          <w:numId w:val="3"/>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418" w:name="_Toc12947"/>
      <w:bookmarkStart w:id="419" w:name="_Toc10220"/>
      <w:bookmarkStart w:id="420" w:name="_Toc20156"/>
      <w:bookmarkStart w:id="421" w:name="_Toc21430"/>
      <w:bookmarkStart w:id="422" w:name="_Toc13229"/>
      <w:bookmarkStart w:id="423" w:name="_Toc28880"/>
      <w:bookmarkStart w:id="424" w:name="_Toc1664"/>
      <w:bookmarkStart w:id="425" w:name="_Toc2710"/>
      <w:bookmarkStart w:id="426" w:name="_Toc12762"/>
      <w:bookmarkStart w:id="427" w:name="_Toc28476"/>
      <w:bookmarkStart w:id="428" w:name="_Toc15940"/>
      <w:bookmarkStart w:id="429" w:name="_Toc385427807"/>
      <w:bookmarkStart w:id="430" w:name="_Toc25750605"/>
      <w:bookmarkStart w:id="431" w:name="_Toc492478732"/>
      <w:bookmarkStart w:id="432" w:name="_Toc390098433"/>
      <w:bookmarkStart w:id="433" w:name="_Toc375039078"/>
      <w:bookmarkStart w:id="434" w:name="_Toc5836"/>
      <w:bookmarkStart w:id="435" w:name="_Toc383891182"/>
      <w:bookmarkStart w:id="436" w:name="_Toc25459"/>
      <w:bookmarkStart w:id="437" w:name="_Toc16948"/>
      <w:bookmarkStart w:id="438" w:name="_Toc26064"/>
      <w:bookmarkStart w:id="439" w:name="_Toc12983519"/>
      <w:bookmarkStart w:id="440" w:name="_Toc21706"/>
      <w:bookmarkStart w:id="441" w:name="_Toc7428"/>
      <w:bookmarkStart w:id="442" w:name="_Toc18875"/>
      <w:bookmarkStart w:id="443" w:name="_Toc114134622"/>
      <w:bookmarkStart w:id="444" w:name="_Toc21448"/>
      <w:r>
        <w:rPr>
          <w:rFonts w:ascii="宋体" w:hAnsi="宋体"/>
          <w:color w:val="000000" w:themeColor="text1"/>
          <w:sz w:val="21"/>
          <w:szCs w:val="21"/>
          <w:highlight w:val="none"/>
          <w14:textFill>
            <w14:solidFill>
              <w14:schemeClr w14:val="tx1"/>
            </w14:solidFill>
          </w14:textFill>
        </w:rPr>
        <w:t>比选申请货币</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13.1</w:t>
      </w:r>
      <w:r>
        <w:rPr>
          <w:rFonts w:ascii="宋体" w:hAnsi="宋体"/>
          <w:color w:val="000000" w:themeColor="text1"/>
          <w:highlight w:val="none"/>
          <w14:textFill>
            <w14:solidFill>
              <w14:schemeClr w14:val="tx1"/>
            </w14:solidFill>
          </w14:textFill>
        </w:rPr>
        <w:t>比选申请人提供的货物和服务用人民币报价。在比选申请文件中的报价一律用人民币币种填报，比选人不接受任何非人民币币种的比选申请报价。</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13.2</w:t>
      </w:r>
      <w:r>
        <w:rPr>
          <w:rFonts w:ascii="宋体" w:hAnsi="宋体"/>
          <w:color w:val="000000" w:themeColor="text1"/>
          <w:highlight w:val="none"/>
          <w14:textFill>
            <w14:solidFill>
              <w14:schemeClr w14:val="tx1"/>
            </w14:solidFill>
          </w14:textFill>
        </w:rPr>
        <w:t>比选人将以人民币与中选的比选申请人签订合同。</w:t>
      </w:r>
    </w:p>
    <w:p>
      <w:pPr>
        <w:pStyle w:val="4"/>
        <w:numPr>
          <w:ilvl w:val="0"/>
          <w:numId w:val="3"/>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445" w:name="_Toc16314"/>
      <w:bookmarkStart w:id="446" w:name="_Toc11690"/>
      <w:bookmarkStart w:id="447" w:name="_Toc28665"/>
      <w:bookmarkStart w:id="448" w:name="_Toc24199"/>
      <w:bookmarkStart w:id="449" w:name="_Toc1624"/>
      <w:bookmarkStart w:id="450" w:name="_Toc12983520"/>
      <w:bookmarkStart w:id="451" w:name="_Toc12049"/>
      <w:bookmarkStart w:id="452" w:name="_Toc492478735"/>
      <w:bookmarkStart w:id="453" w:name="_Toc114134623"/>
      <w:bookmarkStart w:id="454" w:name="_Toc5974"/>
      <w:bookmarkStart w:id="455" w:name="_Toc30848"/>
      <w:bookmarkStart w:id="456" w:name="_Toc1530"/>
      <w:bookmarkStart w:id="457" w:name="_Toc1506"/>
      <w:bookmarkStart w:id="458" w:name="_Toc30040"/>
      <w:bookmarkStart w:id="459" w:name="_Toc27508"/>
      <w:bookmarkStart w:id="460" w:name="_Toc375039081"/>
      <w:bookmarkStart w:id="461" w:name="_Toc14309"/>
      <w:bookmarkStart w:id="462" w:name="_Toc30606"/>
      <w:bookmarkStart w:id="463" w:name="_Toc25750606"/>
      <w:bookmarkStart w:id="464" w:name="_Toc9237"/>
      <w:bookmarkStart w:id="465" w:name="_Toc14922"/>
      <w:bookmarkStart w:id="466" w:name="_Toc390098436"/>
      <w:bookmarkStart w:id="467" w:name="_Toc383891185"/>
      <w:bookmarkStart w:id="468" w:name="_Toc22051"/>
      <w:bookmarkStart w:id="469" w:name="_Toc19848"/>
      <w:bookmarkStart w:id="470" w:name="_Toc7417"/>
      <w:bookmarkStart w:id="471" w:name="_Toc385427810"/>
      <w:r>
        <w:rPr>
          <w:rFonts w:ascii="宋体" w:hAnsi="宋体"/>
          <w:color w:val="000000" w:themeColor="text1"/>
          <w:sz w:val="21"/>
          <w:szCs w:val="21"/>
          <w:highlight w:val="none"/>
          <w14:textFill>
            <w14:solidFill>
              <w14:schemeClr w14:val="tx1"/>
            </w14:solidFill>
          </w14:textFill>
        </w:rPr>
        <w:t>比选保证金</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pPr>
        <w:pStyle w:val="15"/>
        <w:spacing w:before="0" w:after="0" w:afterAutospacing="0"/>
        <w:ind w:left="0" w:right="0" w:firstLine="420" w:firstLineChars="200"/>
        <w:rPr>
          <w:rFonts w:hAnsi="宋体" w:cs="Times New Roman"/>
          <w:color w:val="000000" w:themeColor="text1"/>
          <w:sz w:val="21"/>
          <w:szCs w:val="21"/>
          <w:highlight w:val="none"/>
          <w14:textFill>
            <w14:solidFill>
              <w14:schemeClr w14:val="tx1"/>
            </w14:solidFill>
          </w14:textFill>
        </w:rPr>
      </w:pPr>
      <w:r>
        <w:rPr>
          <w:rFonts w:hint="eastAsia" w:hAnsi="宋体" w:cs="Times New Roman"/>
          <w:color w:val="000000" w:themeColor="text1"/>
          <w:sz w:val="21"/>
          <w:szCs w:val="21"/>
          <w:highlight w:val="none"/>
          <w14:textFill>
            <w14:solidFill>
              <w14:schemeClr w14:val="tx1"/>
            </w14:solidFill>
          </w14:textFill>
        </w:rPr>
        <w:t>本项目</w:t>
      </w:r>
      <w:r>
        <w:rPr>
          <w:rFonts w:hint="eastAsia" w:hAnsi="宋体"/>
          <w:color w:val="000000" w:themeColor="text1"/>
          <w:sz w:val="21"/>
          <w:szCs w:val="21"/>
          <w:highlight w:val="none"/>
          <w14:textFill>
            <w14:solidFill>
              <w14:schemeClr w14:val="tx1"/>
            </w14:solidFill>
          </w14:textFill>
        </w:rPr>
        <w:t>不要求递交比选保证金。</w:t>
      </w:r>
    </w:p>
    <w:p>
      <w:pPr>
        <w:pStyle w:val="4"/>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472" w:name="_Toc114134624"/>
      <w:bookmarkStart w:id="473" w:name="_Toc25750607"/>
      <w:bookmarkStart w:id="474" w:name="_Toc1604"/>
      <w:bookmarkStart w:id="475" w:name="_Toc12983521"/>
      <w:bookmarkStart w:id="476" w:name="_Toc20070"/>
      <w:bookmarkStart w:id="477" w:name="_Toc5690"/>
      <w:bookmarkStart w:id="478" w:name="_Toc4433"/>
      <w:bookmarkStart w:id="479" w:name="_Toc375039082"/>
      <w:bookmarkStart w:id="480" w:name="_Toc21214"/>
      <w:bookmarkStart w:id="481" w:name="_Toc383891186"/>
      <w:bookmarkStart w:id="482" w:name="_Toc28997"/>
      <w:bookmarkStart w:id="483" w:name="_Toc390098437"/>
      <w:bookmarkStart w:id="484" w:name="_Toc845"/>
      <w:bookmarkStart w:id="485" w:name="_Toc7808"/>
      <w:bookmarkStart w:id="486" w:name="_Toc28555"/>
      <w:bookmarkStart w:id="487" w:name="_Toc30499"/>
      <w:bookmarkStart w:id="488" w:name="_Toc691"/>
      <w:bookmarkStart w:id="489" w:name="_Toc492478736"/>
      <w:bookmarkStart w:id="490" w:name="_Toc20493"/>
      <w:bookmarkStart w:id="491" w:name="_Toc23114"/>
      <w:bookmarkStart w:id="492" w:name="_Toc9117"/>
      <w:bookmarkStart w:id="493" w:name="_Toc24656"/>
      <w:bookmarkStart w:id="494" w:name="_Toc14330"/>
      <w:bookmarkStart w:id="495" w:name="_Toc385427811"/>
      <w:bookmarkStart w:id="496" w:name="_Toc10918"/>
      <w:bookmarkStart w:id="497" w:name="_Toc20643"/>
      <w:bookmarkStart w:id="498" w:name="_Toc2268"/>
      <w:r>
        <w:rPr>
          <w:rFonts w:hint="eastAsia" w:ascii="宋体" w:hAnsi="宋体"/>
          <w:color w:val="000000" w:themeColor="text1"/>
          <w:sz w:val="21"/>
          <w:szCs w:val="21"/>
          <w:highlight w:val="none"/>
          <w14:textFill>
            <w14:solidFill>
              <w14:schemeClr w14:val="tx1"/>
            </w14:solidFill>
          </w14:textFill>
        </w:rPr>
        <w:t xml:space="preserve">15. </w:t>
      </w:r>
      <w:r>
        <w:rPr>
          <w:rFonts w:ascii="宋体" w:hAnsi="宋体"/>
          <w:color w:val="000000" w:themeColor="text1"/>
          <w:sz w:val="21"/>
          <w:szCs w:val="21"/>
          <w:highlight w:val="none"/>
          <w14:textFill>
            <w14:solidFill>
              <w14:schemeClr w14:val="tx1"/>
            </w14:solidFill>
          </w14:textFill>
        </w:rPr>
        <w:t>比选申请有效期</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15.1 </w:t>
      </w:r>
      <w:r>
        <w:rPr>
          <w:rFonts w:ascii="宋体" w:hAnsi="宋体"/>
          <w:color w:val="000000" w:themeColor="text1"/>
          <w:highlight w:val="none"/>
          <w14:textFill>
            <w14:solidFill>
              <w14:schemeClr w14:val="tx1"/>
            </w14:solidFill>
          </w14:textFill>
        </w:rPr>
        <w:t>根据本须知前附表规定，比选申请应在比选申请须知前附表中规定的时间内保持有效。比选申请有效期不满足要求的比选申请将被视为非实质性响应比选申请而予以否决。</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15.2 </w:t>
      </w:r>
      <w:r>
        <w:rPr>
          <w:rFonts w:ascii="宋体" w:hAnsi="宋体"/>
          <w:color w:val="000000" w:themeColor="text1"/>
          <w:highlight w:val="none"/>
          <w14:textFill>
            <w14:solidFill>
              <w14:schemeClr w14:val="tx1"/>
            </w14:solidFill>
          </w14:textFill>
        </w:rPr>
        <w:t>特殊情况下，</w:t>
      </w:r>
      <w:r>
        <w:rPr>
          <w:rFonts w:hint="eastAsia" w:ascii="宋体" w:hAnsi="宋体"/>
          <w:color w:val="000000" w:themeColor="text1"/>
          <w:highlight w:val="none"/>
          <w14:textFill>
            <w14:solidFill>
              <w14:schemeClr w14:val="tx1"/>
            </w14:solidFill>
          </w14:textFill>
        </w:rPr>
        <w:t>比选人</w:t>
      </w:r>
      <w:r>
        <w:rPr>
          <w:rFonts w:ascii="宋体" w:hAnsi="宋体"/>
          <w:color w:val="000000" w:themeColor="text1"/>
          <w:highlight w:val="none"/>
          <w14:textFill>
            <w14:solidFill>
              <w14:schemeClr w14:val="tx1"/>
            </w14:solidFill>
          </w14:textFill>
        </w:rPr>
        <w:t>可于比选申请有效期满之前要求比选申请人同意延长有效期，要求与答复均应为书面形式。比选申请人可以拒绝上述要求，但其比选申请将被否决。对于同意该要求的比选申请人，既不要求也不允许其修改比选申请文件</w:t>
      </w:r>
      <w:r>
        <w:rPr>
          <w:rFonts w:hint="eastAsia" w:ascii="宋体" w:hAnsi="宋体"/>
          <w:color w:val="000000" w:themeColor="text1"/>
          <w:highlight w:val="none"/>
          <w14:textFill>
            <w14:solidFill>
              <w14:schemeClr w14:val="tx1"/>
            </w14:solidFill>
          </w14:textFill>
        </w:rPr>
        <w:t>。</w:t>
      </w:r>
    </w:p>
    <w:p>
      <w:pPr>
        <w:tabs>
          <w:tab w:val="left" w:pos="1134"/>
          <w:tab w:val="left" w:pos="8364"/>
        </w:tabs>
        <w:spacing w:before="0" w:after="0" w:afterAutospacing="0"/>
        <w:ind w:left="0" w:right="0" w:firstLine="422" w:firstLineChars="200"/>
        <w:rPr>
          <w:rFonts w:ascii="宋体" w:hAnsi="宋体"/>
          <w:b/>
          <w:bCs/>
          <w:color w:val="000000" w:themeColor="text1"/>
          <w:highlight w:val="none"/>
          <w14:textFill>
            <w14:solidFill>
              <w14:schemeClr w14:val="tx1"/>
            </w14:solidFill>
          </w14:textFill>
        </w:rPr>
      </w:pPr>
      <w:bookmarkStart w:id="499" w:name="_Toc383891187"/>
      <w:bookmarkStart w:id="500" w:name="_Toc8100"/>
      <w:bookmarkStart w:id="501" w:name="_Toc19603"/>
      <w:bookmarkStart w:id="502" w:name="_Toc27730"/>
      <w:bookmarkStart w:id="503" w:name="_Toc25468"/>
      <w:bookmarkStart w:id="504" w:name="_Toc492478737"/>
      <w:bookmarkStart w:id="505" w:name="_Toc25684"/>
      <w:bookmarkStart w:id="506" w:name="_Toc301"/>
      <w:bookmarkStart w:id="507" w:name="_Toc24922"/>
      <w:bookmarkStart w:id="508" w:name="_Toc32525"/>
      <w:bookmarkStart w:id="509" w:name="_Toc375039083"/>
      <w:bookmarkStart w:id="510" w:name="_Toc12506"/>
      <w:bookmarkStart w:id="511" w:name="_Toc14672"/>
      <w:bookmarkStart w:id="512" w:name="_Toc19044"/>
      <w:bookmarkStart w:id="513" w:name="_Toc4216"/>
      <w:bookmarkStart w:id="514" w:name="_Toc6065"/>
      <w:bookmarkStart w:id="515" w:name="_Toc3414"/>
      <w:bookmarkStart w:id="516" w:name="_Toc390098438"/>
      <w:bookmarkStart w:id="517" w:name="_Toc32020"/>
      <w:bookmarkStart w:id="518" w:name="_Toc29108"/>
      <w:bookmarkStart w:id="519" w:name="_Toc385427812"/>
      <w:bookmarkStart w:id="520" w:name="_Toc12435"/>
      <w:bookmarkStart w:id="521" w:name="_Toc12983522"/>
      <w:r>
        <w:rPr>
          <w:rFonts w:hint="eastAsia" w:ascii="宋体" w:hAnsi="宋体"/>
          <w:b/>
          <w:bCs/>
          <w:color w:val="000000" w:themeColor="text1"/>
          <w:highlight w:val="none"/>
          <w14:textFill>
            <w14:solidFill>
              <w14:schemeClr w14:val="tx1"/>
            </w14:solidFill>
          </w14:textFill>
        </w:rPr>
        <w:t xml:space="preserve">16. </w:t>
      </w:r>
      <w:r>
        <w:rPr>
          <w:rFonts w:ascii="宋体" w:hAnsi="宋体"/>
          <w:b/>
          <w:bCs/>
          <w:color w:val="000000" w:themeColor="text1"/>
          <w:highlight w:val="none"/>
          <w14:textFill>
            <w14:solidFill>
              <w14:schemeClr w14:val="tx1"/>
            </w14:solidFill>
          </w14:textFill>
        </w:rPr>
        <w:t>比选申请文件的制作和签署</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16.1 </w:t>
      </w:r>
      <w:r>
        <w:rPr>
          <w:rFonts w:ascii="宋体" w:hAnsi="宋体"/>
          <w:color w:val="000000" w:themeColor="text1"/>
          <w:highlight w:val="none"/>
          <w14:textFill>
            <w14:solidFill>
              <w14:schemeClr w14:val="tx1"/>
            </w14:solidFill>
          </w14:textFill>
        </w:rPr>
        <w:t>比选申请人应按比选申请须知前附表所示套数准备比选申请文件。每套比选申请文件封面上应清楚地注明比选项目名称、项目编号及比选申请人名称，同时加盖公章并由法定代表人或其授权代表签字或盖章，且须清楚地标明“正本”、“副本”或“电子文件”。若正本和副本不符，以正本为准，电子版与纸</w:t>
      </w:r>
      <w:r>
        <w:rPr>
          <w:rFonts w:hint="eastAsia" w:ascii="宋体" w:hAnsi="宋体"/>
          <w:color w:val="000000" w:themeColor="text1"/>
          <w:highlight w:val="none"/>
          <w14:textFill>
            <w14:solidFill>
              <w14:schemeClr w14:val="tx1"/>
            </w14:solidFill>
          </w14:textFill>
        </w:rPr>
        <w:t>质</w:t>
      </w:r>
      <w:r>
        <w:rPr>
          <w:rFonts w:ascii="宋体" w:hAnsi="宋体"/>
          <w:color w:val="000000" w:themeColor="text1"/>
          <w:highlight w:val="none"/>
          <w14:textFill>
            <w14:solidFill>
              <w14:schemeClr w14:val="tx1"/>
            </w14:solidFill>
          </w14:textFill>
        </w:rPr>
        <w:t>文件不符以纸</w:t>
      </w:r>
      <w:r>
        <w:rPr>
          <w:rFonts w:hint="eastAsia" w:ascii="宋体" w:hAnsi="宋体"/>
          <w:color w:val="000000" w:themeColor="text1"/>
          <w:highlight w:val="none"/>
          <w14:textFill>
            <w14:solidFill>
              <w14:schemeClr w14:val="tx1"/>
            </w14:solidFill>
          </w14:textFill>
        </w:rPr>
        <w:t>质</w:t>
      </w:r>
      <w:r>
        <w:rPr>
          <w:rFonts w:ascii="宋体" w:hAnsi="宋体"/>
          <w:color w:val="000000" w:themeColor="text1"/>
          <w:highlight w:val="none"/>
          <w14:textFill>
            <w14:solidFill>
              <w14:schemeClr w14:val="tx1"/>
            </w14:solidFill>
          </w14:textFill>
        </w:rPr>
        <w:t>文件为准。</w:t>
      </w:r>
      <w:r>
        <w:rPr>
          <w:rFonts w:hint="eastAsia" w:ascii="宋体" w:hAnsi="宋体"/>
          <w:b/>
          <w:color w:val="000000" w:themeColor="text1"/>
          <w:highlight w:val="none"/>
          <w14:textFill>
            <w14:solidFill>
              <w14:schemeClr w14:val="tx1"/>
            </w14:solidFill>
          </w14:textFill>
        </w:rPr>
        <w:t>比选申请文件要按照资格审查文件、价格文件和技术文件三部分文件单独装订成册。并按照比选申请须知规定的式样、密封和标记、时间和地点递交。</w:t>
      </w:r>
    </w:p>
    <w:p>
      <w:pPr>
        <w:tabs>
          <w:tab w:val="left" w:pos="1134"/>
          <w:tab w:val="left" w:pos="8364"/>
        </w:tabs>
        <w:spacing w:before="0" w:after="0" w:afterAutospacing="0"/>
        <w:ind w:left="0" w:right="0" w:firstLine="422" w:firstLineChars="200"/>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 xml:space="preserve">16.2 </w:t>
      </w:r>
      <w:r>
        <w:rPr>
          <w:rFonts w:ascii="宋体" w:hAnsi="宋体"/>
          <w:b/>
          <w:color w:val="000000" w:themeColor="text1"/>
          <w:highlight w:val="none"/>
          <w14:textFill>
            <w14:solidFill>
              <w14:schemeClr w14:val="tx1"/>
            </w14:solidFill>
          </w14:textFill>
        </w:rPr>
        <w:t>比选申请文件的正本需打印，并由比选申请人法定代表人或其授权委托人</w:t>
      </w:r>
      <w:r>
        <w:rPr>
          <w:rFonts w:hint="eastAsia" w:ascii="宋体" w:hAnsi="宋体"/>
          <w:b/>
          <w:color w:val="000000" w:themeColor="text1"/>
          <w:highlight w:val="none"/>
          <w14:textFill>
            <w14:solidFill>
              <w14:schemeClr w14:val="tx1"/>
            </w14:solidFill>
          </w14:textFill>
        </w:rPr>
        <w:t>在比选文件规定的相关位置</w:t>
      </w:r>
      <w:r>
        <w:rPr>
          <w:rFonts w:ascii="宋体" w:hAnsi="宋体"/>
          <w:b/>
          <w:color w:val="000000" w:themeColor="text1"/>
          <w:highlight w:val="none"/>
          <w14:textFill>
            <w14:solidFill>
              <w14:schemeClr w14:val="tx1"/>
            </w14:solidFill>
          </w14:textFill>
        </w:rPr>
        <w:t>签字并加盖公章。授权委托人应将以书面形式出具的“法定代表人授权书”附在比选申请文件中。</w:t>
      </w:r>
      <w:r>
        <w:rPr>
          <w:rFonts w:hint="eastAsia" w:ascii="宋体" w:hAnsi="宋体"/>
          <w:b/>
          <w:color w:val="000000" w:themeColor="text1"/>
          <w:highlight w:val="none"/>
          <w14:textFill>
            <w14:solidFill>
              <w14:schemeClr w14:val="tx1"/>
            </w14:solidFill>
          </w14:textFill>
        </w:rPr>
        <w:t>比选申请文件正本需</w:t>
      </w:r>
      <w:r>
        <w:rPr>
          <w:rFonts w:ascii="宋体" w:hAnsi="宋体"/>
          <w:b/>
          <w:color w:val="000000" w:themeColor="text1"/>
          <w:highlight w:val="none"/>
          <w14:textFill>
            <w14:solidFill>
              <w14:schemeClr w14:val="tx1"/>
            </w14:solidFill>
          </w14:textFill>
        </w:rPr>
        <w:t>骑缝加盖比选申请人单位公章</w:t>
      </w:r>
      <w:r>
        <w:rPr>
          <w:rFonts w:hint="eastAsia" w:ascii="宋体" w:hAnsi="宋体"/>
          <w:b/>
          <w:color w:val="000000" w:themeColor="text1"/>
          <w:highlight w:val="none"/>
          <w14:textFill>
            <w14:solidFill>
              <w14:schemeClr w14:val="tx1"/>
            </w14:solidFill>
          </w14:textFill>
        </w:rPr>
        <w:t>，</w:t>
      </w:r>
      <w:r>
        <w:rPr>
          <w:rFonts w:ascii="宋体" w:hAnsi="宋体"/>
          <w:b/>
          <w:color w:val="000000" w:themeColor="text1"/>
          <w:highlight w:val="none"/>
          <w14:textFill>
            <w14:solidFill>
              <w14:schemeClr w14:val="tx1"/>
            </w14:solidFill>
          </w14:textFill>
        </w:rPr>
        <w:t>比选申请文件的副本可采用正本的复印件</w:t>
      </w:r>
      <w:r>
        <w:rPr>
          <w:rFonts w:hint="eastAsia" w:ascii="宋体" w:hAnsi="宋体"/>
          <w:b/>
          <w:color w:val="000000" w:themeColor="text1"/>
          <w:highlight w:val="none"/>
          <w14:textFill>
            <w14:solidFill>
              <w14:schemeClr w14:val="tx1"/>
            </w14:solidFill>
          </w14:textFill>
        </w:rPr>
        <w:t>（需</w:t>
      </w:r>
      <w:r>
        <w:rPr>
          <w:rFonts w:ascii="宋体" w:hAnsi="宋体"/>
          <w:b/>
          <w:color w:val="000000" w:themeColor="text1"/>
          <w:highlight w:val="none"/>
          <w14:textFill>
            <w14:solidFill>
              <w14:schemeClr w14:val="tx1"/>
            </w14:solidFill>
          </w14:textFill>
        </w:rPr>
        <w:t>骑缝加盖比选申请人单位公章</w:t>
      </w:r>
      <w:r>
        <w:rPr>
          <w:rFonts w:hint="eastAsia" w:ascii="宋体" w:hAnsi="宋体"/>
          <w:b/>
          <w:color w:val="000000" w:themeColor="text1"/>
          <w:highlight w:val="none"/>
          <w14:textFill>
            <w14:solidFill>
              <w14:schemeClr w14:val="tx1"/>
            </w14:solidFill>
          </w14:textFill>
        </w:rPr>
        <w:t>）</w:t>
      </w:r>
      <w:r>
        <w:rPr>
          <w:rFonts w:ascii="宋体" w:hAnsi="宋体"/>
          <w:b/>
          <w:color w:val="000000" w:themeColor="text1"/>
          <w:highlight w:val="none"/>
          <w14:textFill>
            <w14:solidFill>
              <w14:schemeClr w14:val="tx1"/>
            </w14:solidFill>
          </w14:textFill>
        </w:rPr>
        <w:t>。</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16.3 </w:t>
      </w:r>
      <w:r>
        <w:rPr>
          <w:rFonts w:ascii="宋体" w:hAnsi="宋体"/>
          <w:color w:val="000000" w:themeColor="text1"/>
          <w:highlight w:val="none"/>
          <w14:textFill>
            <w14:solidFill>
              <w14:schemeClr w14:val="tx1"/>
            </w14:solidFill>
          </w14:textFill>
        </w:rPr>
        <w:t>比选申请文件应无涂改和行间插字，除非是比选申请人造成的必须修改的错误，任何行间插字、涂改和增删，必须由比选申请人法定代表人或其授权代表在旁边签字或盖章确认才有效。</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16.4 </w:t>
      </w:r>
      <w:r>
        <w:rPr>
          <w:rFonts w:ascii="宋体" w:hAnsi="宋体"/>
          <w:color w:val="000000" w:themeColor="text1"/>
          <w:highlight w:val="none"/>
          <w14:textFill>
            <w14:solidFill>
              <w14:schemeClr w14:val="tx1"/>
            </w14:solidFill>
          </w14:textFill>
        </w:rPr>
        <w:t>比选人拒绝接受以</w:t>
      </w:r>
      <w:r>
        <w:rPr>
          <w:rFonts w:hint="eastAsia" w:ascii="宋体" w:hAnsi="宋体"/>
          <w:color w:val="000000" w:themeColor="text1"/>
          <w:highlight w:val="none"/>
          <w14:textFill>
            <w14:solidFill>
              <w14:schemeClr w14:val="tx1"/>
            </w14:solidFill>
          </w14:textFill>
        </w:rPr>
        <w:t>邮寄、</w:t>
      </w:r>
      <w:r>
        <w:rPr>
          <w:rFonts w:ascii="宋体" w:hAnsi="宋体"/>
          <w:color w:val="000000" w:themeColor="text1"/>
          <w:highlight w:val="none"/>
          <w14:textFill>
            <w14:solidFill>
              <w14:schemeClr w14:val="tx1"/>
            </w14:solidFill>
          </w14:textFill>
        </w:rPr>
        <w:t>电报、电话、传真、电子邮件形式的比选申请。</w:t>
      </w:r>
    </w:p>
    <w:p>
      <w:pPr>
        <w:pStyle w:val="3"/>
        <w:spacing w:after="0" w:afterAutospacing="0" w:line="360" w:lineRule="auto"/>
        <w:ind w:left="0" w:right="0" w:firstLine="482" w:firstLineChars="200"/>
        <w:rPr>
          <w:rFonts w:ascii="宋体" w:hAnsi="宋体" w:eastAsia="宋体"/>
          <w:color w:val="000000" w:themeColor="text1"/>
          <w:sz w:val="24"/>
          <w:szCs w:val="24"/>
          <w:highlight w:val="none"/>
          <w14:textFill>
            <w14:solidFill>
              <w14:schemeClr w14:val="tx1"/>
            </w14:solidFill>
          </w14:textFill>
        </w:rPr>
      </w:pPr>
      <w:bookmarkStart w:id="522" w:name="_Toc383891188"/>
      <w:bookmarkStart w:id="523" w:name="_Toc375039084"/>
      <w:bookmarkStart w:id="524" w:name="_Toc390098439"/>
      <w:bookmarkStart w:id="525" w:name="_Toc385427813"/>
      <w:bookmarkStart w:id="526" w:name="_Toc6101"/>
      <w:bookmarkStart w:id="527" w:name="_Toc1315"/>
      <w:bookmarkStart w:id="528" w:name="_Toc10234"/>
      <w:bookmarkStart w:id="529" w:name="_Toc114134625"/>
      <w:bookmarkStart w:id="530" w:name="_Toc2113"/>
      <w:bookmarkStart w:id="531" w:name="_Toc18322"/>
      <w:bookmarkStart w:id="532" w:name="_Toc12983523"/>
      <w:bookmarkStart w:id="533" w:name="_Toc30452"/>
      <w:bookmarkStart w:id="534" w:name="_Toc759"/>
      <w:bookmarkStart w:id="535" w:name="_Toc26776"/>
      <w:bookmarkStart w:id="536" w:name="_Toc16409"/>
      <w:bookmarkStart w:id="537" w:name="_Toc492478738"/>
      <w:bookmarkStart w:id="538" w:name="_Toc7289"/>
      <w:bookmarkStart w:id="539" w:name="_Toc23177"/>
      <w:bookmarkStart w:id="540" w:name="_Toc21398"/>
      <w:bookmarkStart w:id="541" w:name="_Toc2975"/>
      <w:bookmarkStart w:id="542" w:name="_Toc32054"/>
      <w:bookmarkStart w:id="543" w:name="_Toc15116"/>
      <w:bookmarkStart w:id="544" w:name="_Toc30962"/>
      <w:bookmarkStart w:id="545" w:name="_Toc1952"/>
      <w:bookmarkStart w:id="546" w:name="_Toc30187"/>
      <w:bookmarkStart w:id="547" w:name="_Toc26551"/>
      <w:r>
        <w:rPr>
          <w:rFonts w:hint="eastAsia" w:ascii="宋体" w:hAnsi="宋体" w:eastAsia="宋体"/>
          <w:color w:val="000000" w:themeColor="text1"/>
          <w:sz w:val="24"/>
          <w:szCs w:val="24"/>
          <w:highlight w:val="none"/>
          <w14:textFill>
            <w14:solidFill>
              <w14:schemeClr w14:val="tx1"/>
            </w14:solidFill>
          </w14:textFill>
        </w:rPr>
        <w:t>四、</w:t>
      </w:r>
      <w:r>
        <w:rPr>
          <w:rFonts w:ascii="宋体" w:hAnsi="宋体" w:eastAsia="宋体"/>
          <w:color w:val="000000" w:themeColor="text1"/>
          <w:sz w:val="24"/>
          <w:szCs w:val="24"/>
          <w:highlight w:val="none"/>
          <w14:textFill>
            <w14:solidFill>
              <w14:schemeClr w14:val="tx1"/>
            </w14:solidFill>
          </w14:textFill>
        </w:rPr>
        <w:t>比选申请文件</w:t>
      </w:r>
      <w:bookmarkEnd w:id="522"/>
      <w:bookmarkEnd w:id="523"/>
      <w:bookmarkEnd w:id="524"/>
      <w:bookmarkEnd w:id="525"/>
      <w:r>
        <w:rPr>
          <w:rFonts w:hint="eastAsia" w:ascii="宋体" w:hAnsi="宋体" w:eastAsia="宋体"/>
          <w:color w:val="000000" w:themeColor="text1"/>
          <w:sz w:val="24"/>
          <w:szCs w:val="24"/>
          <w:highlight w:val="none"/>
          <w14:textFill>
            <w14:solidFill>
              <w14:schemeClr w14:val="tx1"/>
            </w14:solidFill>
          </w14:textFill>
        </w:rPr>
        <w:t>的密封和递交</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pPr>
        <w:pStyle w:val="4"/>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548" w:name="_Toc19248"/>
      <w:bookmarkStart w:id="549" w:name="_Toc385427814"/>
      <w:bookmarkStart w:id="550" w:name="_Toc492478739"/>
      <w:bookmarkStart w:id="551" w:name="_Toc15663"/>
      <w:bookmarkStart w:id="552" w:name="_Toc19495"/>
      <w:bookmarkStart w:id="553" w:name="_Toc114134626"/>
      <w:bookmarkStart w:id="554" w:name="_Toc18616"/>
      <w:bookmarkStart w:id="555" w:name="_Toc15071"/>
      <w:bookmarkStart w:id="556" w:name="_Toc12983524"/>
      <w:bookmarkStart w:id="557" w:name="_Toc26249"/>
      <w:bookmarkStart w:id="558" w:name="_Toc5922"/>
      <w:bookmarkStart w:id="559" w:name="_Toc12117"/>
      <w:bookmarkStart w:id="560" w:name="_Toc9307"/>
      <w:bookmarkStart w:id="561" w:name="_Toc383891189"/>
      <w:bookmarkStart w:id="562" w:name="_Toc375039085"/>
      <w:bookmarkStart w:id="563" w:name="_Toc17200"/>
      <w:bookmarkStart w:id="564" w:name="_Toc25750609"/>
      <w:bookmarkStart w:id="565" w:name="_Toc24648"/>
      <w:bookmarkStart w:id="566" w:name="_Toc12329"/>
      <w:bookmarkStart w:id="567" w:name="_Toc15650"/>
      <w:bookmarkStart w:id="568" w:name="_Toc13621"/>
      <w:bookmarkStart w:id="569" w:name="_Toc15735"/>
      <w:bookmarkStart w:id="570" w:name="_Toc24538"/>
      <w:bookmarkStart w:id="571" w:name="_Toc30196"/>
      <w:bookmarkStart w:id="572" w:name="_Toc13875"/>
      <w:bookmarkStart w:id="573" w:name="_Toc390098440"/>
      <w:bookmarkStart w:id="574" w:name="_Toc13829"/>
      <w:r>
        <w:rPr>
          <w:rFonts w:hint="eastAsia" w:ascii="宋体" w:hAnsi="宋体"/>
          <w:color w:val="000000" w:themeColor="text1"/>
          <w:sz w:val="21"/>
          <w:szCs w:val="21"/>
          <w:highlight w:val="none"/>
          <w14:textFill>
            <w14:solidFill>
              <w14:schemeClr w14:val="tx1"/>
            </w14:solidFill>
          </w14:textFill>
        </w:rPr>
        <w:t xml:space="preserve">17. </w:t>
      </w:r>
      <w:r>
        <w:rPr>
          <w:rFonts w:ascii="宋体" w:hAnsi="宋体"/>
          <w:color w:val="000000" w:themeColor="text1"/>
          <w:sz w:val="21"/>
          <w:szCs w:val="21"/>
          <w:highlight w:val="none"/>
          <w14:textFill>
            <w14:solidFill>
              <w14:schemeClr w14:val="tx1"/>
            </w14:solidFill>
          </w14:textFill>
        </w:rPr>
        <w:t>比选申请文件</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bookmarkStart w:id="575" w:name="_Toc385427815"/>
      <w:bookmarkStart w:id="576" w:name="_Toc383891190"/>
      <w:bookmarkStart w:id="577" w:name="_Toc375039086"/>
      <w:bookmarkStart w:id="578" w:name="_Toc390098441"/>
      <w:r>
        <w:rPr>
          <w:rFonts w:hint="eastAsia" w:ascii="宋体" w:hAnsi="宋体"/>
          <w:color w:val="000000" w:themeColor="text1"/>
          <w:highlight w:val="none"/>
          <w14:textFill>
            <w14:solidFill>
              <w14:schemeClr w14:val="tx1"/>
            </w14:solidFill>
          </w14:textFill>
        </w:rPr>
        <w:t xml:space="preserve">17.1 </w:t>
      </w:r>
      <w:r>
        <w:rPr>
          <w:rFonts w:ascii="宋体" w:hAnsi="宋体"/>
          <w:color w:val="000000" w:themeColor="text1"/>
          <w:highlight w:val="none"/>
          <w14:textFill>
            <w14:solidFill>
              <w14:schemeClr w14:val="tx1"/>
            </w14:solidFill>
          </w14:textFill>
        </w:rPr>
        <w:t>封装方式</w:t>
      </w:r>
    </w:p>
    <w:p>
      <w:pPr>
        <w:tabs>
          <w:tab w:val="left" w:pos="420"/>
          <w:tab w:val="left" w:pos="720"/>
          <w:tab w:val="left" w:pos="113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（1）比选申请文件正本与副本应分别装订成册，封面上应分别标明“正本”和“副本”字样。</w:t>
      </w:r>
    </w:p>
    <w:p>
      <w:pPr>
        <w:tabs>
          <w:tab w:val="left" w:pos="420"/>
          <w:tab w:val="left" w:pos="720"/>
          <w:tab w:val="left" w:pos="113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w:t>
      </w:r>
      <w:r>
        <w:rPr>
          <w:rFonts w:ascii="宋体" w:hAnsi="宋体"/>
          <w:color w:val="000000" w:themeColor="text1"/>
          <w:highlight w:val="none"/>
          <w14:textFill>
            <w14:solidFill>
              <w14:schemeClr w14:val="tx1"/>
            </w14:solidFill>
          </w14:textFill>
        </w:rPr>
        <w:t>2</w:t>
      </w:r>
      <w:r>
        <w:rPr>
          <w:rFonts w:hint="eastAsia" w:ascii="宋体" w:hAnsi="宋体"/>
          <w:color w:val="000000" w:themeColor="text1"/>
          <w:highlight w:val="none"/>
          <w14:textFill>
            <w14:solidFill>
              <w14:schemeClr w14:val="tx1"/>
            </w14:solidFill>
          </w14:textFill>
        </w:rPr>
        <w:t>）比选申请人可将比选申请文件封装为</w:t>
      </w:r>
      <w:r>
        <w:rPr>
          <w:rFonts w:ascii="宋体" w:hAnsi="宋体"/>
          <w:color w:val="000000" w:themeColor="text1"/>
          <w:highlight w:val="none"/>
          <w14:textFill>
            <w14:solidFill>
              <w14:schemeClr w14:val="tx1"/>
            </w14:solidFill>
          </w14:textFill>
        </w:rPr>
        <w:t>1</w:t>
      </w:r>
      <w:r>
        <w:rPr>
          <w:rFonts w:hint="eastAsia" w:ascii="宋体" w:hAnsi="宋体"/>
          <w:color w:val="000000" w:themeColor="text1"/>
          <w:highlight w:val="none"/>
          <w14:textFill>
            <w14:solidFill>
              <w14:schemeClr w14:val="tx1"/>
            </w14:solidFill>
          </w14:textFill>
        </w:rPr>
        <w:t>个包，其中价格文件还需独立密封成包。</w:t>
      </w:r>
    </w:p>
    <w:p>
      <w:pPr>
        <w:tabs>
          <w:tab w:val="left" w:pos="420"/>
          <w:tab w:val="left" w:pos="720"/>
          <w:tab w:val="left" w:pos="113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（3）所有密封箱/袋应保证其密封性，并骑缝加盖比选申请人单位公章。</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17.2 </w:t>
      </w:r>
      <w:r>
        <w:rPr>
          <w:rFonts w:ascii="宋体" w:hAnsi="宋体"/>
          <w:color w:val="000000" w:themeColor="text1"/>
          <w:highlight w:val="none"/>
          <w14:textFill>
            <w14:solidFill>
              <w14:schemeClr w14:val="tx1"/>
            </w14:solidFill>
          </w14:textFill>
        </w:rPr>
        <w:t>所有密封箱/袋都应具有下列识别标志：</w:t>
      </w:r>
    </w:p>
    <w:p>
      <w:pPr>
        <w:tabs>
          <w:tab w:val="left" w:pos="1155"/>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w:t>
      </w:r>
      <w:r>
        <w:rPr>
          <w:rFonts w:ascii="宋体" w:hAnsi="宋体"/>
          <w:color w:val="000000" w:themeColor="text1"/>
          <w:highlight w:val="none"/>
          <w14:textFill>
            <w14:solidFill>
              <w14:schemeClr w14:val="tx1"/>
            </w14:solidFill>
          </w14:textFill>
        </w:rPr>
        <w:t>项目名称：</w:t>
      </w:r>
      <w:r>
        <w:rPr>
          <w:rFonts w:hint="eastAsia" w:ascii="宋体" w:hAnsi="宋体"/>
          <w:color w:val="000000" w:themeColor="text1"/>
          <w:highlight w:val="none"/>
          <w:u w:val="single"/>
          <w:lang w:val="zh-CN"/>
          <w14:textFill>
            <w14:solidFill>
              <w14:schemeClr w14:val="tx1"/>
            </w14:solidFill>
          </w14:textFill>
        </w:rPr>
        <w:t>南宁市白沙半岛片区城中村改造项目安置住房小区4号地块配套基础设施-纵一路设计</w:t>
      </w:r>
      <w:r>
        <w:rPr>
          <w:rFonts w:ascii="宋体" w:hAnsi="宋体"/>
          <w:color w:val="000000" w:themeColor="text1"/>
          <w:highlight w:val="none"/>
          <w14:textFill>
            <w14:solidFill>
              <w14:schemeClr w14:val="tx1"/>
            </w14:solidFill>
          </w14:textFill>
        </w:rPr>
        <w:t>；</w:t>
      </w:r>
    </w:p>
    <w:p>
      <w:pPr>
        <w:tabs>
          <w:tab w:val="left" w:pos="420"/>
          <w:tab w:val="left" w:pos="720"/>
          <w:tab w:val="left" w:pos="113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w:t>
      </w:r>
      <w:r>
        <w:rPr>
          <w:rFonts w:ascii="宋体" w:hAnsi="宋体"/>
          <w:color w:val="000000" w:themeColor="text1"/>
          <w:highlight w:val="none"/>
          <w14:textFill>
            <w14:solidFill>
              <w14:schemeClr w14:val="tx1"/>
            </w14:solidFill>
          </w14:textFill>
        </w:rPr>
        <w:t>项目编号：</w:t>
      </w:r>
      <w:r>
        <w:rPr>
          <w:rFonts w:hint="eastAsia" w:ascii="宋体" w:hAnsi="宋体"/>
          <w:color w:val="000000" w:themeColor="text1"/>
          <w:highlight w:val="none"/>
          <w14:textFill>
            <w14:solidFill>
              <w14:schemeClr w14:val="tx1"/>
            </w14:solidFill>
          </w14:textFill>
        </w:rPr>
        <w:t>无</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17.3 </w:t>
      </w:r>
      <w:r>
        <w:rPr>
          <w:rFonts w:ascii="宋体" w:hAnsi="宋体"/>
          <w:color w:val="000000" w:themeColor="text1"/>
          <w:highlight w:val="none"/>
          <w14:textFill>
            <w14:solidFill>
              <w14:schemeClr w14:val="tx1"/>
            </w14:solidFill>
          </w14:textFill>
        </w:rPr>
        <w:t>所有密封箱</w:t>
      </w:r>
      <w:r>
        <w:rPr>
          <w:rFonts w:hint="eastAsia" w:ascii="宋体" w:hAnsi="宋体"/>
          <w:color w:val="000000" w:themeColor="text1"/>
          <w:highlight w:val="none"/>
          <w14:textFill>
            <w14:solidFill>
              <w14:schemeClr w14:val="tx1"/>
            </w14:solidFill>
          </w14:textFill>
        </w:rPr>
        <w:t>/</w:t>
      </w:r>
      <w:r>
        <w:rPr>
          <w:rFonts w:ascii="宋体" w:hAnsi="宋体"/>
          <w:color w:val="000000" w:themeColor="text1"/>
          <w:highlight w:val="none"/>
          <w14:textFill>
            <w14:solidFill>
              <w14:schemeClr w14:val="tx1"/>
            </w14:solidFill>
          </w14:textFill>
        </w:rPr>
        <w:t>袋上均应写明比选申请人的名称与地址，以便比选申请被宣布迟到时，能原封退回。</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17.4 </w:t>
      </w:r>
      <w:r>
        <w:rPr>
          <w:rFonts w:ascii="宋体" w:hAnsi="宋体"/>
          <w:color w:val="000000" w:themeColor="text1"/>
          <w:highlight w:val="none"/>
          <w14:textFill>
            <w14:solidFill>
              <w14:schemeClr w14:val="tx1"/>
            </w14:solidFill>
          </w14:textFill>
        </w:rPr>
        <w:t>如果密封箱</w:t>
      </w:r>
      <w:r>
        <w:rPr>
          <w:rFonts w:hint="eastAsia" w:ascii="宋体" w:hAnsi="宋体"/>
          <w:color w:val="000000" w:themeColor="text1"/>
          <w:highlight w:val="none"/>
          <w14:textFill>
            <w14:solidFill>
              <w14:schemeClr w14:val="tx1"/>
            </w14:solidFill>
          </w14:textFill>
        </w:rPr>
        <w:t>/</w:t>
      </w:r>
      <w:r>
        <w:rPr>
          <w:rFonts w:ascii="宋体" w:hAnsi="宋体"/>
          <w:color w:val="000000" w:themeColor="text1"/>
          <w:highlight w:val="none"/>
          <w14:textFill>
            <w14:solidFill>
              <w14:schemeClr w14:val="tx1"/>
            </w14:solidFill>
          </w14:textFill>
        </w:rPr>
        <w:t>袋上没有按上述规定密封并加写标志，比选人将不承担比选申请文件错放或提前开封的责任，由此造成的提前开封的比选申请文件，比选人将予以拒绝，并退还给比选申请人。</w:t>
      </w:r>
    </w:p>
    <w:p>
      <w:pPr>
        <w:pStyle w:val="4"/>
        <w:numPr>
          <w:ilvl w:val="0"/>
          <w:numId w:val="4"/>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579" w:name="_Toc24465"/>
      <w:bookmarkStart w:id="580" w:name="_Toc13883"/>
      <w:bookmarkStart w:id="581" w:name="_Toc13136"/>
      <w:bookmarkStart w:id="582" w:name="_Toc2337"/>
      <w:bookmarkStart w:id="583" w:name="_Toc492478740"/>
      <w:bookmarkStart w:id="584" w:name="_Toc12983525"/>
      <w:bookmarkStart w:id="585" w:name="_Toc6482"/>
      <w:bookmarkStart w:id="586" w:name="_Toc11255"/>
      <w:bookmarkStart w:id="587" w:name="_Toc11039"/>
      <w:bookmarkStart w:id="588" w:name="_Toc4735"/>
      <w:bookmarkStart w:id="589" w:name="_Toc16818"/>
      <w:bookmarkStart w:id="590" w:name="_Toc6339"/>
      <w:bookmarkStart w:id="591" w:name="_Toc22180"/>
      <w:bookmarkStart w:id="592" w:name="_Toc25750610"/>
      <w:bookmarkStart w:id="593" w:name="_Toc32760"/>
      <w:bookmarkStart w:id="594" w:name="_Toc23859"/>
      <w:bookmarkStart w:id="595" w:name="_Toc16266"/>
      <w:bookmarkStart w:id="596" w:name="_Toc22445"/>
      <w:bookmarkStart w:id="597" w:name="_Toc114134627"/>
      <w:bookmarkStart w:id="598" w:name="_Toc642"/>
      <w:bookmarkStart w:id="599" w:name="_Toc28071"/>
      <w:bookmarkStart w:id="600" w:name="_Toc11096"/>
      <w:bookmarkStart w:id="601" w:name="_Toc16755"/>
      <w:r>
        <w:rPr>
          <w:rFonts w:ascii="宋体" w:hAnsi="宋体"/>
          <w:color w:val="000000" w:themeColor="text1"/>
          <w:sz w:val="21"/>
          <w:szCs w:val="21"/>
          <w:highlight w:val="none"/>
          <w14:textFill>
            <w14:solidFill>
              <w14:schemeClr w14:val="tx1"/>
            </w14:solidFill>
          </w14:textFill>
        </w:rPr>
        <w:t>比选申请截止期</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18.1 </w:t>
      </w:r>
      <w:r>
        <w:rPr>
          <w:rFonts w:ascii="宋体" w:hAnsi="宋体"/>
          <w:color w:val="000000" w:themeColor="text1"/>
          <w:highlight w:val="none"/>
          <w14:textFill>
            <w14:solidFill>
              <w14:schemeClr w14:val="tx1"/>
            </w14:solidFill>
          </w14:textFill>
        </w:rPr>
        <w:t>所有比选申请文件应派专人送交，并须按“比选申请须知前附表”中规定的比选申请截止时间</w:t>
      </w:r>
      <w:r>
        <w:rPr>
          <w:rFonts w:hint="eastAsia" w:ascii="宋体" w:hAnsi="宋体"/>
          <w:color w:val="000000" w:themeColor="text1"/>
          <w:highlight w:val="none"/>
          <w14:textFill>
            <w14:solidFill>
              <w14:schemeClr w14:val="tx1"/>
            </w14:solidFill>
          </w14:textFill>
        </w:rPr>
        <w:t>前</w:t>
      </w:r>
      <w:r>
        <w:rPr>
          <w:rFonts w:ascii="宋体" w:hAnsi="宋体"/>
          <w:color w:val="000000" w:themeColor="text1"/>
          <w:highlight w:val="none"/>
          <w14:textFill>
            <w14:solidFill>
              <w14:schemeClr w14:val="tx1"/>
            </w14:solidFill>
          </w14:textFill>
        </w:rPr>
        <w:t>送至</w:t>
      </w:r>
      <w:r>
        <w:rPr>
          <w:rFonts w:hint="eastAsia" w:ascii="宋体" w:hAnsi="宋体"/>
          <w:color w:val="000000" w:themeColor="text1"/>
          <w:highlight w:val="none"/>
          <w14:textFill>
            <w14:solidFill>
              <w14:schemeClr w14:val="tx1"/>
            </w14:solidFill>
          </w14:textFill>
        </w:rPr>
        <w:t>比选文件规定的</w:t>
      </w:r>
      <w:r>
        <w:rPr>
          <w:rFonts w:ascii="宋体" w:hAnsi="宋体"/>
          <w:color w:val="000000" w:themeColor="text1"/>
          <w:highlight w:val="none"/>
          <w14:textFill>
            <w14:solidFill>
              <w14:schemeClr w14:val="tx1"/>
            </w14:solidFill>
          </w14:textFill>
        </w:rPr>
        <w:t>地点。如有必要，比选申请人可事先自行到该场地进行察看。</w:t>
      </w:r>
    </w:p>
    <w:p>
      <w:pPr>
        <w:tabs>
          <w:tab w:val="left" w:pos="1134"/>
          <w:tab w:val="left" w:pos="8364"/>
        </w:tabs>
        <w:spacing w:before="0" w:after="0" w:afterAutospacing="0"/>
        <w:ind w:left="0" w:right="0" w:firstLine="422" w:firstLineChars="200"/>
        <w:rPr>
          <w:rFonts w:ascii="宋体" w:hAnsi="宋体"/>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 xml:space="preserve">18.2 </w:t>
      </w:r>
      <w:r>
        <w:rPr>
          <w:rFonts w:ascii="宋体" w:hAnsi="宋体"/>
          <w:b/>
          <w:color w:val="000000" w:themeColor="text1"/>
          <w:highlight w:val="none"/>
          <w14:textFill>
            <w14:solidFill>
              <w14:schemeClr w14:val="tx1"/>
            </w14:solidFill>
          </w14:textFill>
        </w:rPr>
        <w:t>比选申请人在递交比选申请文件时必须签到，否则比选申请无效。递交比选申请文件的时间晚于比选申请截止时间时，比选申请文件将不被接受。</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18.3 </w:t>
      </w:r>
      <w:r>
        <w:rPr>
          <w:rFonts w:ascii="宋体" w:hAnsi="宋体"/>
          <w:color w:val="000000" w:themeColor="text1"/>
          <w:highlight w:val="none"/>
          <w14:textFill>
            <w14:solidFill>
              <w14:schemeClr w14:val="tx1"/>
            </w14:solidFill>
          </w14:textFill>
        </w:rPr>
        <w:t>出现比选申请须知第7条因比选文件的修改推迟比选申请截止时间时，则按比选人修改通知规定的时间递交。在此情况下，比选人和比选申请人受比选申请截止时间制约的所有权利和义务均应延长至新的比选申请截止时间。</w:t>
      </w:r>
    </w:p>
    <w:p>
      <w:pPr>
        <w:pStyle w:val="4"/>
        <w:numPr>
          <w:ilvl w:val="0"/>
          <w:numId w:val="4"/>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602" w:name="_Toc13581"/>
      <w:bookmarkStart w:id="603" w:name="_Toc2226"/>
      <w:bookmarkStart w:id="604" w:name="_Toc26431"/>
      <w:bookmarkStart w:id="605" w:name="_Toc21960"/>
      <w:bookmarkStart w:id="606" w:name="_Toc324"/>
      <w:bookmarkStart w:id="607" w:name="_Toc32252"/>
      <w:bookmarkStart w:id="608" w:name="_Toc11373"/>
      <w:bookmarkStart w:id="609" w:name="_Toc385427816"/>
      <w:bookmarkStart w:id="610" w:name="_Toc383891191"/>
      <w:bookmarkStart w:id="611" w:name="_Toc390098442"/>
      <w:bookmarkStart w:id="612" w:name="_Toc32621"/>
      <w:bookmarkStart w:id="613" w:name="_Toc28041"/>
      <w:bookmarkStart w:id="614" w:name="_Toc29066"/>
      <w:bookmarkStart w:id="615" w:name="_Toc3597"/>
      <w:bookmarkStart w:id="616" w:name="_Toc492478741"/>
      <w:bookmarkStart w:id="617" w:name="_Toc114134628"/>
      <w:bookmarkStart w:id="618" w:name="_Toc6554"/>
      <w:bookmarkStart w:id="619" w:name="_Toc15252"/>
      <w:bookmarkStart w:id="620" w:name="_Toc22945"/>
      <w:bookmarkStart w:id="621" w:name="_Toc25750611"/>
      <w:bookmarkStart w:id="622" w:name="_Toc14239"/>
      <w:bookmarkStart w:id="623" w:name="_Toc10818"/>
      <w:bookmarkStart w:id="624" w:name="_Toc23404"/>
      <w:bookmarkStart w:id="625" w:name="_Toc12983526"/>
      <w:bookmarkStart w:id="626" w:name="_Toc9522"/>
      <w:bookmarkStart w:id="627" w:name="_Toc29473"/>
      <w:bookmarkStart w:id="628" w:name="_Toc375039087"/>
      <w:r>
        <w:rPr>
          <w:rFonts w:ascii="宋体" w:hAnsi="宋体"/>
          <w:color w:val="000000" w:themeColor="text1"/>
          <w:sz w:val="21"/>
          <w:szCs w:val="21"/>
          <w:highlight w:val="none"/>
          <w14:textFill>
            <w14:solidFill>
              <w14:schemeClr w14:val="tx1"/>
            </w14:solidFill>
          </w14:textFill>
        </w:rPr>
        <w:t>迟交的比选申请文件</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19.1 比选人</w:t>
      </w:r>
      <w:r>
        <w:rPr>
          <w:rFonts w:ascii="宋体" w:hAnsi="宋体"/>
          <w:color w:val="000000" w:themeColor="text1"/>
          <w:highlight w:val="none"/>
          <w14:textFill>
            <w14:solidFill>
              <w14:schemeClr w14:val="tx1"/>
            </w14:solidFill>
          </w14:textFill>
        </w:rPr>
        <w:t>将拒绝并原封退回在</w:t>
      </w:r>
      <w:r>
        <w:rPr>
          <w:rFonts w:hint="eastAsia" w:ascii="宋体" w:hAnsi="宋体"/>
          <w:color w:val="000000" w:themeColor="text1"/>
          <w:highlight w:val="none"/>
          <w14:textFill>
            <w14:solidFill>
              <w14:schemeClr w14:val="tx1"/>
            </w14:solidFill>
          </w14:textFill>
        </w:rPr>
        <w:t>本须知</w:t>
      </w:r>
      <w:r>
        <w:rPr>
          <w:rFonts w:ascii="宋体" w:hAnsi="宋体"/>
          <w:color w:val="000000" w:themeColor="text1"/>
          <w:highlight w:val="none"/>
          <w14:textFill>
            <w14:solidFill>
              <w14:schemeClr w14:val="tx1"/>
            </w14:solidFill>
          </w14:textFill>
        </w:rPr>
        <w:t>18.1</w:t>
      </w:r>
      <w:r>
        <w:rPr>
          <w:rFonts w:hint="eastAsia" w:ascii="宋体" w:hAnsi="宋体"/>
          <w:color w:val="000000" w:themeColor="text1"/>
          <w:highlight w:val="none"/>
          <w14:textFill>
            <w14:solidFill>
              <w14:schemeClr w14:val="tx1"/>
            </w14:solidFill>
          </w14:textFill>
        </w:rPr>
        <w:t>条</w:t>
      </w:r>
      <w:r>
        <w:rPr>
          <w:rFonts w:ascii="宋体" w:hAnsi="宋体"/>
          <w:color w:val="000000" w:themeColor="text1"/>
          <w:highlight w:val="none"/>
          <w14:textFill>
            <w14:solidFill>
              <w14:schemeClr w14:val="tx1"/>
            </w14:solidFill>
          </w14:textFill>
        </w:rPr>
        <w:t>规定的比选申请截止时间后收到的任何比选申请文件。</w:t>
      </w:r>
    </w:p>
    <w:p>
      <w:pPr>
        <w:pStyle w:val="4"/>
        <w:numPr>
          <w:ilvl w:val="0"/>
          <w:numId w:val="4"/>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629" w:name="_Toc10345"/>
      <w:bookmarkStart w:id="630" w:name="_Toc24030"/>
      <w:bookmarkStart w:id="631" w:name="_Toc4605"/>
      <w:bookmarkStart w:id="632" w:name="_Toc27195"/>
      <w:bookmarkStart w:id="633" w:name="_Toc23449"/>
      <w:bookmarkStart w:id="634" w:name="_Toc243"/>
      <w:bookmarkStart w:id="635" w:name="_Toc14411"/>
      <w:bookmarkStart w:id="636" w:name="_Toc14522"/>
      <w:bookmarkStart w:id="637" w:name="_Toc29208"/>
      <w:bookmarkStart w:id="638" w:name="_Toc17797"/>
      <w:bookmarkStart w:id="639" w:name="_Toc8636"/>
      <w:bookmarkStart w:id="640" w:name="_Toc28452"/>
      <w:bookmarkStart w:id="641" w:name="_Toc25750612"/>
      <w:bookmarkStart w:id="642" w:name="_Toc12682"/>
      <w:bookmarkStart w:id="643" w:name="_Toc385427817"/>
      <w:bookmarkStart w:id="644" w:name="_Toc9706"/>
      <w:bookmarkStart w:id="645" w:name="_Toc31033"/>
      <w:bookmarkStart w:id="646" w:name="_Toc21796"/>
      <w:bookmarkStart w:id="647" w:name="_Toc492478742"/>
      <w:bookmarkStart w:id="648" w:name="_Toc390098443"/>
      <w:bookmarkStart w:id="649" w:name="_Toc7221"/>
      <w:bookmarkStart w:id="650" w:name="_Toc12983527"/>
      <w:bookmarkStart w:id="651" w:name="_Toc26282"/>
      <w:bookmarkStart w:id="652" w:name="_Toc25427"/>
      <w:bookmarkStart w:id="653" w:name="_Toc114134629"/>
      <w:bookmarkStart w:id="654" w:name="_Toc375039088"/>
      <w:bookmarkStart w:id="655" w:name="_Toc383891192"/>
      <w:r>
        <w:rPr>
          <w:rFonts w:ascii="宋体" w:hAnsi="宋体"/>
          <w:color w:val="000000" w:themeColor="text1"/>
          <w:sz w:val="21"/>
          <w:szCs w:val="21"/>
          <w:highlight w:val="none"/>
          <w14:textFill>
            <w14:solidFill>
              <w14:schemeClr w14:val="tx1"/>
            </w14:solidFill>
          </w14:textFill>
        </w:rPr>
        <w:t>比选申请文件的修改和撤回</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20.1 </w:t>
      </w:r>
      <w:r>
        <w:rPr>
          <w:rFonts w:ascii="宋体" w:hAnsi="宋体"/>
          <w:color w:val="000000" w:themeColor="text1"/>
          <w:highlight w:val="none"/>
          <w14:textFill>
            <w14:solidFill>
              <w14:schemeClr w14:val="tx1"/>
            </w14:solidFill>
          </w14:textFill>
        </w:rPr>
        <w:t>比选申请人在提交比选申请文件后可对其比选申请文件进行修改或撤回，但该修改或撤回的书面通知须在比选申请截止时间之前送达</w:t>
      </w:r>
      <w:r>
        <w:rPr>
          <w:rFonts w:hint="eastAsia" w:ascii="宋体" w:hAnsi="宋体"/>
          <w:color w:val="000000" w:themeColor="text1"/>
          <w:highlight w:val="none"/>
          <w14:textFill>
            <w14:solidFill>
              <w14:schemeClr w14:val="tx1"/>
            </w14:solidFill>
          </w14:textFill>
        </w:rPr>
        <w:t>比选单位</w:t>
      </w:r>
      <w:r>
        <w:rPr>
          <w:rFonts w:ascii="宋体" w:hAnsi="宋体"/>
          <w:color w:val="000000" w:themeColor="text1"/>
          <w:highlight w:val="none"/>
          <w14:textFill>
            <w14:solidFill>
              <w14:schemeClr w14:val="tx1"/>
            </w14:solidFill>
          </w14:textFill>
        </w:rPr>
        <w:t>；且该通知需经正式授权的比选申请人代表签字方为有效。</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20.2 </w:t>
      </w:r>
      <w:r>
        <w:rPr>
          <w:rFonts w:ascii="宋体" w:hAnsi="宋体"/>
          <w:color w:val="000000" w:themeColor="text1"/>
          <w:highlight w:val="none"/>
          <w14:textFill>
            <w14:solidFill>
              <w14:schemeClr w14:val="tx1"/>
            </w14:solidFill>
          </w14:textFill>
        </w:rPr>
        <w:t>比选申请人对比选申请文件修改的书面材料或撤回的通知应按本比选申请须知</w:t>
      </w:r>
      <w:r>
        <w:rPr>
          <w:rFonts w:hint="eastAsia" w:ascii="宋体" w:hAnsi="宋体"/>
          <w:color w:val="000000" w:themeColor="text1"/>
          <w:highlight w:val="none"/>
          <w14:textFill>
            <w14:solidFill>
              <w14:schemeClr w14:val="tx1"/>
            </w14:solidFill>
          </w14:textFill>
        </w:rPr>
        <w:t>第16</w:t>
      </w:r>
      <w:r>
        <w:rPr>
          <w:rFonts w:ascii="宋体" w:hAnsi="宋体"/>
          <w:color w:val="000000" w:themeColor="text1"/>
          <w:highlight w:val="none"/>
          <w14:textFill>
            <w14:solidFill>
              <w14:schemeClr w14:val="tx1"/>
            </w14:solidFill>
          </w14:textFill>
        </w:rPr>
        <w:t>和</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"_尻깃匡숭돨쵱룐뵨깃션" </w:instrText>
      </w:r>
      <w:r>
        <w:rPr>
          <w:color w:val="000000" w:themeColor="text1"/>
          <w:highlight w:val="none"/>
          <w14:textFill>
            <w14:solidFill>
              <w14:schemeClr w14:val="tx1"/>
            </w14:solidFill>
          </w14:textFill>
        </w:rPr>
        <w:fldChar w:fldCharType="separate"/>
      </w:r>
      <w:r>
        <w:rPr>
          <w:rFonts w:hint="eastAsia" w:ascii="宋体" w:hAnsi="宋体"/>
          <w:color w:val="000000" w:themeColor="text1"/>
          <w:highlight w:val="none"/>
          <w14:textFill>
            <w14:solidFill>
              <w14:schemeClr w14:val="tx1"/>
            </w14:solidFill>
          </w14:textFill>
        </w:rPr>
        <w:t>17</w:t>
      </w:r>
      <w:r>
        <w:rPr>
          <w:rFonts w:ascii="宋体" w:hAnsi="宋体"/>
          <w:color w:val="000000" w:themeColor="text1"/>
          <w:highlight w:val="none"/>
          <w14:textFill>
            <w14:solidFill>
              <w14:schemeClr w14:val="tx1"/>
            </w14:solidFill>
          </w14:textFill>
        </w:rPr>
        <w:t>条</w:t>
      </w:r>
      <w:r>
        <w:rPr>
          <w:rFonts w:ascii="宋体" w:hAnsi="宋体"/>
          <w:color w:val="000000" w:themeColor="text1"/>
          <w:highlight w:val="none"/>
          <w14:textFill>
            <w14:solidFill>
              <w14:schemeClr w14:val="tx1"/>
            </w14:solidFill>
          </w14:textFill>
        </w:rPr>
        <w:fldChar w:fldCharType="end"/>
      </w:r>
      <w:r>
        <w:rPr>
          <w:rFonts w:ascii="宋体" w:hAnsi="宋体"/>
          <w:color w:val="000000" w:themeColor="text1"/>
          <w:highlight w:val="none"/>
          <w14:textFill>
            <w14:solidFill>
              <w14:schemeClr w14:val="tx1"/>
            </w14:solidFill>
          </w14:textFill>
        </w:rPr>
        <w:t>规定进行编写、密封、标注和递送，并注明“修改比选申请文件”或“撤回比选申请书面通知”字样。</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20.3 </w:t>
      </w:r>
      <w:r>
        <w:rPr>
          <w:rFonts w:ascii="宋体" w:hAnsi="宋体"/>
          <w:color w:val="000000" w:themeColor="text1"/>
          <w:highlight w:val="none"/>
          <w14:textFill>
            <w14:solidFill>
              <w14:schemeClr w14:val="tx1"/>
            </w14:solidFill>
          </w14:textFill>
        </w:rPr>
        <w:t>比选申请截止时间以后比选申请人不得修改比选申请文件。</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20.4 </w:t>
      </w:r>
      <w:r>
        <w:rPr>
          <w:rFonts w:ascii="宋体" w:hAnsi="宋体"/>
          <w:color w:val="000000" w:themeColor="text1"/>
          <w:highlight w:val="none"/>
          <w14:textFill>
            <w14:solidFill>
              <w14:schemeClr w14:val="tx1"/>
            </w14:solidFill>
          </w14:textFill>
        </w:rPr>
        <w:t>比选申请人不得在比选申请截止时间至比选申请有效期期满前撤销比选申请文件。否则</w:t>
      </w:r>
      <w:r>
        <w:rPr>
          <w:rFonts w:hint="eastAsia" w:ascii="宋体" w:hAnsi="宋体"/>
          <w:color w:val="000000" w:themeColor="text1"/>
          <w:highlight w:val="none"/>
          <w14:textFill>
            <w14:solidFill>
              <w14:schemeClr w14:val="tx1"/>
            </w14:solidFill>
          </w14:textFill>
        </w:rPr>
        <w:t>比选人有权</w:t>
      </w:r>
      <w:r>
        <w:rPr>
          <w:rFonts w:ascii="宋体" w:hAnsi="宋体"/>
          <w:color w:val="000000" w:themeColor="text1"/>
          <w:highlight w:val="none"/>
          <w14:textFill>
            <w14:solidFill>
              <w14:schemeClr w14:val="tx1"/>
            </w14:solidFill>
          </w14:textFill>
        </w:rPr>
        <w:t>要求</w:t>
      </w:r>
      <w:r>
        <w:rPr>
          <w:rFonts w:hint="eastAsia" w:ascii="宋体" w:hAnsi="宋体"/>
          <w:color w:val="000000" w:themeColor="text1"/>
          <w:highlight w:val="none"/>
          <w14:textFill>
            <w14:solidFill>
              <w14:schemeClr w14:val="tx1"/>
            </w14:solidFill>
          </w14:textFill>
        </w:rPr>
        <w:t>比选申请人</w:t>
      </w:r>
      <w:r>
        <w:rPr>
          <w:rFonts w:ascii="宋体" w:hAnsi="宋体"/>
          <w:color w:val="000000" w:themeColor="text1"/>
          <w:highlight w:val="none"/>
          <w14:textFill>
            <w14:solidFill>
              <w14:schemeClr w14:val="tx1"/>
            </w14:solidFill>
          </w14:textFill>
        </w:rPr>
        <w:t>对损失给予赔偿。</w:t>
      </w:r>
    </w:p>
    <w:p>
      <w:pPr>
        <w:pStyle w:val="3"/>
        <w:spacing w:after="0" w:afterAutospacing="0" w:line="360" w:lineRule="auto"/>
        <w:ind w:left="0" w:right="0" w:firstLine="482" w:firstLineChars="200"/>
        <w:rPr>
          <w:rFonts w:ascii="宋体" w:hAnsi="宋体" w:eastAsia="宋体"/>
          <w:color w:val="000000" w:themeColor="text1"/>
          <w:sz w:val="24"/>
          <w:szCs w:val="24"/>
          <w:highlight w:val="none"/>
          <w14:textFill>
            <w14:solidFill>
              <w14:schemeClr w14:val="tx1"/>
            </w14:solidFill>
          </w14:textFill>
        </w:rPr>
      </w:pPr>
      <w:bookmarkStart w:id="656" w:name="_Toc492478743"/>
      <w:bookmarkStart w:id="657" w:name="_Toc9549"/>
      <w:bookmarkStart w:id="658" w:name="_Toc22587"/>
      <w:bookmarkStart w:id="659" w:name="_Toc18076"/>
      <w:bookmarkStart w:id="660" w:name="_Toc12983528"/>
      <w:bookmarkStart w:id="661" w:name="_Toc29264"/>
      <w:bookmarkStart w:id="662" w:name="_Toc375039089"/>
      <w:bookmarkStart w:id="663" w:name="_Toc383891193"/>
      <w:bookmarkStart w:id="664" w:name="_Toc16856"/>
      <w:bookmarkStart w:id="665" w:name="_Toc28694"/>
      <w:bookmarkStart w:id="666" w:name="_Toc12182"/>
      <w:bookmarkStart w:id="667" w:name="_Toc31978"/>
      <w:bookmarkStart w:id="668" w:name="_Toc11529"/>
      <w:bookmarkStart w:id="669" w:name="_Toc5592"/>
      <w:bookmarkStart w:id="670" w:name="_Toc9728"/>
      <w:bookmarkStart w:id="671" w:name="_Toc3006"/>
      <w:bookmarkStart w:id="672" w:name="_Toc10325"/>
      <w:bookmarkStart w:id="673" w:name="_Toc24485"/>
      <w:bookmarkStart w:id="674" w:name="_Toc385427818"/>
      <w:bookmarkStart w:id="675" w:name="_Toc4291"/>
      <w:bookmarkStart w:id="676" w:name="_Toc2306"/>
      <w:bookmarkStart w:id="677" w:name="_Toc25433"/>
      <w:bookmarkStart w:id="678" w:name="_Toc390098444"/>
      <w:bookmarkStart w:id="679" w:name="_Toc114134630"/>
      <w:bookmarkStart w:id="680" w:name="_Toc18091"/>
      <w:bookmarkStart w:id="681" w:name="_Toc7654"/>
      <w:r>
        <w:rPr>
          <w:rFonts w:hint="eastAsia" w:ascii="宋体" w:hAnsi="宋体" w:eastAsia="宋体"/>
          <w:color w:val="000000" w:themeColor="text1"/>
          <w:sz w:val="24"/>
          <w:szCs w:val="24"/>
          <w:highlight w:val="none"/>
          <w14:textFill>
            <w14:solidFill>
              <w14:schemeClr w14:val="tx1"/>
            </w14:solidFill>
          </w14:textFill>
        </w:rPr>
        <w:t>五、</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r>
        <w:rPr>
          <w:rFonts w:hint="eastAsia" w:ascii="宋体" w:hAnsi="宋体" w:eastAsia="宋体"/>
          <w:color w:val="000000" w:themeColor="text1"/>
          <w:sz w:val="24"/>
          <w:szCs w:val="24"/>
          <w:highlight w:val="none"/>
          <w14:textFill>
            <w14:solidFill>
              <w14:schemeClr w14:val="tx1"/>
            </w14:solidFill>
          </w14:textFill>
        </w:rPr>
        <w:t>比选申请文件递交与评审</w:t>
      </w:r>
      <w:bookmarkEnd w:id="679"/>
      <w:bookmarkEnd w:id="680"/>
      <w:bookmarkEnd w:id="681"/>
    </w:p>
    <w:p>
      <w:pPr>
        <w:pStyle w:val="4"/>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682" w:name="_Toc375039090"/>
      <w:bookmarkStart w:id="683" w:name="_Toc383891194"/>
      <w:bookmarkStart w:id="684" w:name="_Toc385427819"/>
      <w:bookmarkStart w:id="685" w:name="_Toc895"/>
      <w:bookmarkStart w:id="686" w:name="_Toc4638"/>
      <w:bookmarkStart w:id="687" w:name="_Toc5182"/>
      <w:bookmarkStart w:id="688" w:name="_Toc9309"/>
      <w:bookmarkStart w:id="689" w:name="_Toc9264"/>
      <w:bookmarkStart w:id="690" w:name="_Toc10883"/>
      <w:bookmarkStart w:id="691" w:name="_Toc25116"/>
      <w:bookmarkStart w:id="692" w:name="_Toc24196"/>
      <w:bookmarkStart w:id="693" w:name="_Toc4365"/>
      <w:bookmarkStart w:id="694" w:name="_Toc12983529"/>
      <w:bookmarkStart w:id="695" w:name="_Toc6839"/>
      <w:bookmarkStart w:id="696" w:name="_Toc4825"/>
      <w:bookmarkStart w:id="697" w:name="_Toc492478744"/>
      <w:bookmarkStart w:id="698" w:name="_Toc10292"/>
      <w:bookmarkStart w:id="699" w:name="_Toc6974"/>
      <w:bookmarkStart w:id="700" w:name="_Toc390098445"/>
      <w:bookmarkStart w:id="701" w:name="_Toc23705"/>
      <w:bookmarkStart w:id="702" w:name="_Toc18919"/>
      <w:bookmarkStart w:id="703" w:name="_Toc4674"/>
      <w:bookmarkStart w:id="704" w:name="_Toc6377"/>
      <w:bookmarkStart w:id="705" w:name="_Toc25750614"/>
      <w:bookmarkStart w:id="706" w:name="_Toc9037"/>
      <w:bookmarkStart w:id="707" w:name="_Toc114134631"/>
      <w:bookmarkStart w:id="708" w:name="_Toc25314"/>
      <w:r>
        <w:rPr>
          <w:rFonts w:hint="eastAsia" w:ascii="宋体" w:hAnsi="宋体"/>
          <w:color w:val="000000" w:themeColor="text1"/>
          <w:sz w:val="21"/>
          <w:szCs w:val="21"/>
          <w:highlight w:val="none"/>
          <w14:textFill>
            <w14:solidFill>
              <w14:schemeClr w14:val="tx1"/>
            </w14:solidFill>
          </w14:textFill>
        </w:rPr>
        <w:t xml:space="preserve">21. </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r>
        <w:rPr>
          <w:rFonts w:hint="eastAsia" w:ascii="宋体" w:hAnsi="宋体"/>
          <w:color w:val="000000" w:themeColor="text1"/>
          <w:sz w:val="21"/>
          <w:szCs w:val="21"/>
          <w:highlight w:val="none"/>
          <w14:textFill>
            <w14:solidFill>
              <w14:schemeClr w14:val="tx1"/>
            </w14:solidFill>
          </w14:textFill>
        </w:rPr>
        <w:t>比选申请文件递交</w:t>
      </w:r>
      <w:bookmarkEnd w:id="705"/>
      <w:bookmarkEnd w:id="706"/>
      <w:bookmarkEnd w:id="707"/>
      <w:bookmarkEnd w:id="708"/>
    </w:p>
    <w:p>
      <w:pPr>
        <w:tabs>
          <w:tab w:val="left" w:pos="945"/>
          <w:tab w:val="left" w:pos="113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21.1 比选人将按本须知第</w:t>
      </w:r>
      <w:r>
        <w:rPr>
          <w:rFonts w:ascii="宋体" w:hAnsi="宋体"/>
          <w:color w:val="000000" w:themeColor="text1"/>
          <w:highlight w:val="none"/>
          <w14:textFill>
            <w14:solidFill>
              <w14:schemeClr w14:val="tx1"/>
            </w14:solidFill>
          </w14:textFill>
        </w:rPr>
        <w:t>18.1</w:t>
      </w:r>
      <w:r>
        <w:rPr>
          <w:rFonts w:hint="eastAsia" w:ascii="宋体" w:hAnsi="宋体"/>
          <w:color w:val="000000" w:themeColor="text1"/>
          <w:highlight w:val="none"/>
          <w14:textFill>
            <w14:solidFill>
              <w14:schemeClr w14:val="tx1"/>
            </w14:solidFill>
          </w14:textFill>
        </w:rPr>
        <w:t>条项规定的时间和地址，对所有按时递交并已签收达三个或以上比选申请人的比选申请文件进行核查。</w:t>
      </w:r>
    </w:p>
    <w:p>
      <w:pPr>
        <w:tabs>
          <w:tab w:val="left" w:pos="113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比选申请文件有下列情形之一的，比选人应当拒收：</w:t>
      </w:r>
    </w:p>
    <w:p>
      <w:pPr>
        <w:snapToGrid w:val="0"/>
        <w:spacing w:before="0" w:after="0" w:afterAutospacing="0"/>
        <w:ind w:left="0" w:right="0" w:firstLine="422" w:firstLineChars="200"/>
        <w:jc w:val="left"/>
        <w:rPr>
          <w:rFonts w:ascii="宋体" w:hAnsi="宋体"/>
          <w:b/>
          <w:color w:val="000000" w:themeColor="text1"/>
          <w:highlight w:val="none"/>
          <w14:textFill>
            <w14:solidFill>
              <w14:schemeClr w14:val="tx1"/>
            </w14:solidFill>
          </w14:textFill>
        </w:rPr>
      </w:pPr>
      <w:r>
        <w:rPr>
          <w:rFonts w:ascii="宋体" w:hAnsi="宋体"/>
          <w:b/>
          <w:color w:val="000000" w:themeColor="text1"/>
          <w:highlight w:val="none"/>
          <w14:textFill>
            <w14:solidFill>
              <w14:schemeClr w14:val="tx1"/>
            </w14:solidFill>
          </w14:textFill>
        </w:rPr>
        <w:t>2</w:t>
      </w:r>
      <w:r>
        <w:rPr>
          <w:rFonts w:hint="eastAsia" w:ascii="宋体" w:hAnsi="宋体"/>
          <w:b/>
          <w:color w:val="000000" w:themeColor="text1"/>
          <w:highlight w:val="none"/>
          <w14:textFill>
            <w14:solidFill>
              <w14:schemeClr w14:val="tx1"/>
            </w14:solidFill>
          </w14:textFill>
        </w:rPr>
        <w:t>1</w:t>
      </w:r>
      <w:r>
        <w:rPr>
          <w:rFonts w:ascii="宋体" w:hAnsi="宋体"/>
          <w:b/>
          <w:color w:val="000000" w:themeColor="text1"/>
          <w:highlight w:val="none"/>
          <w14:textFill>
            <w14:solidFill>
              <w14:schemeClr w14:val="tx1"/>
            </w14:solidFill>
          </w14:textFill>
        </w:rPr>
        <w:t>.1.1逾期送达的或者未送达指定地点的比选申请文件</w:t>
      </w:r>
      <w:r>
        <w:rPr>
          <w:rFonts w:hint="eastAsia" w:ascii="宋体" w:hAnsi="宋体"/>
          <w:b/>
          <w:color w:val="000000" w:themeColor="text1"/>
          <w:highlight w:val="none"/>
          <w14:textFill>
            <w14:solidFill>
              <w14:schemeClr w14:val="tx1"/>
            </w14:solidFill>
          </w14:textFill>
        </w:rPr>
        <w:t>；</w:t>
      </w:r>
    </w:p>
    <w:p>
      <w:pPr>
        <w:snapToGrid w:val="0"/>
        <w:spacing w:before="0" w:after="0" w:afterAutospacing="0"/>
        <w:ind w:left="0" w:right="0" w:firstLine="422" w:firstLineChars="200"/>
        <w:jc w:val="left"/>
        <w:rPr>
          <w:rFonts w:ascii="宋体" w:hAnsi="宋体"/>
          <w:b/>
          <w:color w:val="000000" w:themeColor="text1"/>
          <w:highlight w:val="none"/>
          <w14:textFill>
            <w14:solidFill>
              <w14:schemeClr w14:val="tx1"/>
            </w14:solidFill>
          </w14:textFill>
        </w:rPr>
      </w:pPr>
      <w:r>
        <w:rPr>
          <w:rFonts w:ascii="宋体" w:hAnsi="宋体"/>
          <w:b/>
          <w:color w:val="000000" w:themeColor="text1"/>
          <w:highlight w:val="none"/>
          <w14:textFill>
            <w14:solidFill>
              <w14:schemeClr w14:val="tx1"/>
            </w14:solidFill>
          </w14:textFill>
        </w:rPr>
        <w:t>2</w:t>
      </w:r>
      <w:r>
        <w:rPr>
          <w:rFonts w:hint="eastAsia" w:ascii="宋体" w:hAnsi="宋体"/>
          <w:b/>
          <w:color w:val="000000" w:themeColor="text1"/>
          <w:highlight w:val="none"/>
          <w14:textFill>
            <w14:solidFill>
              <w14:schemeClr w14:val="tx1"/>
            </w14:solidFill>
          </w14:textFill>
        </w:rPr>
        <w:t>1</w:t>
      </w:r>
      <w:r>
        <w:rPr>
          <w:rFonts w:ascii="宋体" w:hAnsi="宋体"/>
          <w:b/>
          <w:color w:val="000000" w:themeColor="text1"/>
          <w:highlight w:val="none"/>
          <w14:textFill>
            <w14:solidFill>
              <w14:schemeClr w14:val="tx1"/>
            </w14:solidFill>
          </w14:textFill>
        </w:rPr>
        <w:t>.1.2</w:t>
      </w:r>
      <w:r>
        <w:rPr>
          <w:rFonts w:hint="eastAsia" w:ascii="宋体" w:hAnsi="宋体"/>
          <w:b/>
          <w:color w:val="000000" w:themeColor="text1"/>
          <w:highlight w:val="none"/>
          <w14:textFill>
            <w14:solidFill>
              <w14:schemeClr w14:val="tx1"/>
            </w14:solidFill>
          </w14:textFill>
        </w:rPr>
        <w:t>比选申请文件外包封</w:t>
      </w:r>
      <w:r>
        <w:rPr>
          <w:rFonts w:ascii="宋体" w:hAnsi="宋体"/>
          <w:b/>
          <w:color w:val="000000" w:themeColor="text1"/>
          <w:highlight w:val="none"/>
          <w14:textFill>
            <w14:solidFill>
              <w14:schemeClr w14:val="tx1"/>
            </w14:solidFill>
          </w14:textFill>
        </w:rPr>
        <w:t>未按比选文件要求密封的</w:t>
      </w:r>
      <w:r>
        <w:rPr>
          <w:rFonts w:hint="eastAsia" w:ascii="宋体" w:hAnsi="宋体"/>
          <w:b/>
          <w:color w:val="000000" w:themeColor="text1"/>
          <w:highlight w:val="none"/>
          <w14:textFill>
            <w14:solidFill>
              <w14:schemeClr w14:val="tx1"/>
            </w14:solidFill>
          </w14:textFill>
        </w:rPr>
        <w:t>。</w:t>
      </w:r>
    </w:p>
    <w:p>
      <w:pPr>
        <w:pStyle w:val="4"/>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709" w:name="_Toc390098446"/>
      <w:bookmarkStart w:id="710" w:name="_Toc385427820"/>
      <w:bookmarkStart w:id="711" w:name="_Toc375039091"/>
      <w:bookmarkStart w:id="712" w:name="_Toc383891195"/>
      <w:bookmarkStart w:id="713" w:name="_Toc9391"/>
      <w:bookmarkStart w:id="714" w:name="_Toc11263"/>
      <w:bookmarkStart w:id="715" w:name="_Toc30671"/>
      <w:bookmarkStart w:id="716" w:name="_Toc114134632"/>
      <w:bookmarkStart w:id="717" w:name="_Toc1920"/>
      <w:bookmarkStart w:id="718" w:name="_Toc16068"/>
      <w:bookmarkStart w:id="719" w:name="_Toc23699"/>
      <w:bookmarkStart w:id="720" w:name="_Toc16897"/>
      <w:bookmarkStart w:id="721" w:name="_Toc12983530"/>
      <w:bookmarkStart w:id="722" w:name="_Toc15466"/>
      <w:bookmarkStart w:id="723" w:name="_Toc24630"/>
      <w:bookmarkStart w:id="724" w:name="_Toc13202"/>
      <w:bookmarkStart w:id="725" w:name="_Toc5267"/>
      <w:bookmarkStart w:id="726" w:name="_Toc16601"/>
      <w:bookmarkStart w:id="727" w:name="_Toc15111"/>
      <w:bookmarkStart w:id="728" w:name="_Toc21819"/>
      <w:bookmarkStart w:id="729" w:name="_Toc25270"/>
      <w:bookmarkStart w:id="730" w:name="_Toc11013"/>
      <w:bookmarkStart w:id="731" w:name="_Toc17785"/>
      <w:bookmarkStart w:id="732" w:name="_Toc25750615"/>
      <w:bookmarkStart w:id="733" w:name="_Toc492478745"/>
      <w:bookmarkStart w:id="734" w:name="_Toc24687"/>
      <w:bookmarkStart w:id="735" w:name="_Toc27636"/>
      <w:r>
        <w:rPr>
          <w:rFonts w:hint="eastAsia" w:ascii="宋体" w:hAnsi="宋体"/>
          <w:color w:val="000000" w:themeColor="text1"/>
          <w:sz w:val="21"/>
          <w:szCs w:val="21"/>
          <w:highlight w:val="none"/>
          <w14:textFill>
            <w14:solidFill>
              <w14:schemeClr w14:val="tx1"/>
            </w14:solidFill>
          </w14:textFill>
        </w:rPr>
        <w:t>22.</w:t>
      </w:r>
      <w:r>
        <w:rPr>
          <w:rFonts w:ascii="宋体" w:hAnsi="宋体"/>
          <w:color w:val="000000" w:themeColor="text1"/>
          <w:sz w:val="21"/>
          <w:szCs w:val="21"/>
          <w:highlight w:val="none"/>
          <w14:textFill>
            <w14:solidFill>
              <w14:schemeClr w14:val="tx1"/>
            </w14:solidFill>
          </w14:textFill>
        </w:rPr>
        <w:t>评审</w:t>
      </w:r>
      <w:bookmarkEnd w:id="709"/>
      <w:bookmarkEnd w:id="710"/>
      <w:bookmarkEnd w:id="711"/>
      <w:bookmarkEnd w:id="712"/>
      <w:r>
        <w:rPr>
          <w:rFonts w:ascii="宋体" w:hAnsi="宋体"/>
          <w:color w:val="000000" w:themeColor="text1"/>
          <w:sz w:val="21"/>
          <w:szCs w:val="21"/>
          <w:highlight w:val="none"/>
          <w14:textFill>
            <w14:solidFill>
              <w14:schemeClr w14:val="tx1"/>
            </w14:solidFill>
          </w14:textFill>
        </w:rPr>
        <w:t>程序</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pPr>
        <w:tabs>
          <w:tab w:val="left" w:pos="8364"/>
        </w:tabs>
        <w:spacing w:before="0" w:after="0" w:afterAutospacing="0"/>
        <w:ind w:left="0" w:right="0" w:firstLine="420" w:firstLineChars="200"/>
        <w:rPr>
          <w:rFonts w:ascii="宋体" w:hAnsi="宋体"/>
          <w:b/>
          <w:color w:val="000000" w:themeColor="text1"/>
          <w:highlight w:val="none"/>
          <w14:textFill>
            <w14:solidFill>
              <w14:schemeClr w14:val="tx1"/>
            </w14:solidFill>
          </w14:textFill>
        </w:rPr>
      </w:pPr>
      <w:bookmarkStart w:id="736" w:name="_Toc375039092"/>
      <w:r>
        <w:rPr>
          <w:rFonts w:hint="eastAsia" w:ascii="宋体" w:hAnsi="宋体"/>
          <w:color w:val="000000" w:themeColor="text1"/>
          <w:highlight w:val="none"/>
          <w14:textFill>
            <w14:solidFill>
              <w14:schemeClr w14:val="tx1"/>
            </w14:solidFill>
          </w14:textFill>
        </w:rPr>
        <w:t>详见第六章《评分办法》。</w:t>
      </w:r>
      <w:bookmarkEnd w:id="736"/>
    </w:p>
    <w:p>
      <w:pPr>
        <w:pStyle w:val="4"/>
        <w:numPr>
          <w:ilvl w:val="0"/>
          <w:numId w:val="5"/>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737" w:name="_Toc114134633"/>
      <w:bookmarkStart w:id="738" w:name="_Toc27570"/>
      <w:bookmarkStart w:id="739" w:name="_Toc32545"/>
      <w:bookmarkStart w:id="740" w:name="_Toc13421"/>
      <w:bookmarkStart w:id="741" w:name="_Toc492478746"/>
      <w:bookmarkStart w:id="742" w:name="_Toc18063"/>
      <w:bookmarkStart w:id="743" w:name="_Toc14719"/>
      <w:bookmarkStart w:id="744" w:name="_Toc16072"/>
      <w:bookmarkStart w:id="745" w:name="_Toc12983531"/>
      <w:bookmarkStart w:id="746" w:name="_Toc5386"/>
      <w:bookmarkStart w:id="747" w:name="_Toc25047"/>
      <w:bookmarkStart w:id="748" w:name="_Toc26137"/>
      <w:bookmarkStart w:id="749" w:name="_Toc1456"/>
      <w:bookmarkStart w:id="750" w:name="_Toc24755"/>
      <w:bookmarkStart w:id="751" w:name="_Toc385427821"/>
      <w:bookmarkStart w:id="752" w:name="_Toc11716"/>
      <w:bookmarkStart w:id="753" w:name="_Toc383891196"/>
      <w:bookmarkStart w:id="754" w:name="_Toc15"/>
      <w:bookmarkStart w:id="755" w:name="_Toc26083"/>
      <w:bookmarkStart w:id="756" w:name="_Toc25750616"/>
      <w:bookmarkStart w:id="757" w:name="_Toc833"/>
      <w:bookmarkStart w:id="758" w:name="_Toc18803"/>
      <w:bookmarkStart w:id="759" w:name="_Toc29929"/>
      <w:bookmarkStart w:id="760" w:name="_Toc375039093"/>
      <w:bookmarkStart w:id="761" w:name="_Toc390098447"/>
      <w:bookmarkStart w:id="762" w:name="_Toc8295"/>
      <w:bookmarkStart w:id="763" w:name="_Toc17980"/>
      <w:r>
        <w:rPr>
          <w:rFonts w:ascii="宋体" w:hAnsi="宋体"/>
          <w:color w:val="000000" w:themeColor="text1"/>
          <w:sz w:val="21"/>
          <w:szCs w:val="21"/>
          <w:highlight w:val="none"/>
          <w14:textFill>
            <w14:solidFill>
              <w14:schemeClr w14:val="tx1"/>
            </w14:solidFill>
          </w14:textFill>
        </w:rPr>
        <w:t>与比选人和评审委员会的接触</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pPr>
        <w:tabs>
          <w:tab w:val="left" w:pos="420"/>
          <w:tab w:val="left" w:pos="113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 xml:space="preserve">23.1 </w:t>
      </w:r>
      <w:r>
        <w:rPr>
          <w:rFonts w:ascii="宋体" w:hAnsi="宋体" w:cs="Arial"/>
          <w:color w:val="000000" w:themeColor="text1"/>
          <w:highlight w:val="none"/>
          <w14:textFill>
            <w14:solidFill>
              <w14:schemeClr w14:val="tx1"/>
            </w14:solidFill>
          </w14:textFill>
        </w:rPr>
        <w:t>从比选申请截止日起至授予合同期间，未经书面要求，比选申请人不得就与其比选申请文件有关的事项与评审委员会、比选人接触（包括直接接触</w:t>
      </w:r>
      <w:r>
        <w:rPr>
          <w:rFonts w:hint="eastAsia" w:ascii="宋体" w:hAnsi="宋体" w:cs="Arial"/>
          <w:color w:val="000000" w:themeColor="text1"/>
          <w:highlight w:val="none"/>
          <w14:textFill>
            <w14:solidFill>
              <w14:schemeClr w14:val="tx1"/>
            </w14:solidFill>
          </w14:textFill>
        </w:rPr>
        <w:t>或</w:t>
      </w:r>
      <w:r>
        <w:rPr>
          <w:rFonts w:ascii="宋体" w:hAnsi="宋体" w:cs="Arial"/>
          <w:color w:val="000000" w:themeColor="text1"/>
          <w:highlight w:val="none"/>
          <w14:textFill>
            <w14:solidFill>
              <w14:schemeClr w14:val="tx1"/>
            </w14:solidFill>
          </w14:textFill>
        </w:rPr>
        <w:t>间接接触）。</w:t>
      </w:r>
    </w:p>
    <w:p>
      <w:pPr>
        <w:tabs>
          <w:tab w:val="left" w:pos="420"/>
          <w:tab w:val="left" w:pos="113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 xml:space="preserve">23.2 </w:t>
      </w:r>
      <w:r>
        <w:rPr>
          <w:rFonts w:ascii="宋体" w:hAnsi="宋体" w:cs="Arial"/>
          <w:color w:val="000000" w:themeColor="text1"/>
          <w:highlight w:val="none"/>
          <w14:textFill>
            <w14:solidFill>
              <w14:schemeClr w14:val="tx1"/>
            </w14:solidFill>
          </w14:textFill>
        </w:rPr>
        <w:t>比选申请人试图对评审委员会的评审、比较或授予合同的决定进行影响，都可能导致其比选申请文件被否决。</w:t>
      </w:r>
    </w:p>
    <w:p>
      <w:pPr>
        <w:tabs>
          <w:tab w:val="left" w:pos="420"/>
          <w:tab w:val="left" w:pos="113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 xml:space="preserve">23.3 </w:t>
      </w:r>
      <w:r>
        <w:rPr>
          <w:rFonts w:ascii="宋体" w:hAnsi="宋体" w:cs="Arial"/>
          <w:color w:val="000000" w:themeColor="text1"/>
          <w:highlight w:val="none"/>
          <w14:textFill>
            <w14:solidFill>
              <w14:schemeClr w14:val="tx1"/>
            </w14:solidFill>
          </w14:textFill>
        </w:rPr>
        <w:t>比选申请人不得以任何方式干扰比选人的</w:t>
      </w:r>
      <w:r>
        <w:rPr>
          <w:rFonts w:hint="eastAsia" w:ascii="宋体" w:hAnsi="宋体" w:cs="Arial"/>
          <w:color w:val="000000" w:themeColor="text1"/>
          <w:highlight w:val="none"/>
          <w14:textFill>
            <w14:solidFill>
              <w14:schemeClr w14:val="tx1"/>
            </w14:solidFill>
          </w14:textFill>
        </w:rPr>
        <w:t>比选</w:t>
      </w:r>
      <w:r>
        <w:rPr>
          <w:rFonts w:ascii="宋体" w:hAnsi="宋体" w:cs="Arial"/>
          <w:color w:val="000000" w:themeColor="text1"/>
          <w:highlight w:val="none"/>
          <w14:textFill>
            <w14:solidFill>
              <w14:schemeClr w14:val="tx1"/>
            </w14:solidFill>
          </w14:textFill>
        </w:rPr>
        <w:t>和评审活动，否则其比选申请无效并追究其法律责任。</w:t>
      </w:r>
    </w:p>
    <w:p>
      <w:pPr>
        <w:tabs>
          <w:tab w:val="left" w:pos="420"/>
          <w:tab w:val="left" w:pos="113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 xml:space="preserve">23.4 </w:t>
      </w:r>
      <w:r>
        <w:rPr>
          <w:rFonts w:ascii="宋体" w:hAnsi="宋体" w:cs="Arial"/>
          <w:color w:val="000000" w:themeColor="text1"/>
          <w:highlight w:val="none"/>
          <w14:textFill>
            <w14:solidFill>
              <w14:schemeClr w14:val="tx1"/>
            </w14:solidFill>
          </w14:textFill>
        </w:rPr>
        <w:t>有关比选申请文件的审查、澄清、评估和比较以及有关授予合同的意向的一切情况都不得透露给任一比选申请人。</w:t>
      </w:r>
    </w:p>
    <w:p>
      <w:pPr>
        <w:pStyle w:val="4"/>
        <w:numPr>
          <w:ilvl w:val="0"/>
          <w:numId w:val="5"/>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764" w:name="_Toc30207"/>
      <w:bookmarkStart w:id="765" w:name="_Toc390098448"/>
      <w:bookmarkStart w:id="766" w:name="_Toc114134634"/>
      <w:bookmarkStart w:id="767" w:name="_Toc12960"/>
      <w:bookmarkStart w:id="768" w:name="_Toc654"/>
      <w:bookmarkStart w:id="769" w:name="_Toc15988"/>
      <w:bookmarkStart w:id="770" w:name="_Toc9941"/>
      <w:bookmarkStart w:id="771" w:name="_Toc492478747"/>
      <w:bookmarkStart w:id="772" w:name="_Toc20523"/>
      <w:bookmarkStart w:id="773" w:name="_Toc25750617"/>
      <w:bookmarkStart w:id="774" w:name="_Toc29504"/>
      <w:bookmarkStart w:id="775" w:name="_Toc12671"/>
      <w:bookmarkStart w:id="776" w:name="_Toc21167"/>
      <w:bookmarkStart w:id="777" w:name="_Toc16963"/>
      <w:bookmarkStart w:id="778" w:name="_Toc25734"/>
      <w:bookmarkStart w:id="779" w:name="_Toc385427822"/>
      <w:bookmarkStart w:id="780" w:name="_Toc24161"/>
      <w:bookmarkStart w:id="781" w:name="_Toc12909"/>
      <w:bookmarkStart w:id="782" w:name="_Toc383891197"/>
      <w:bookmarkStart w:id="783" w:name="_Toc9602"/>
      <w:bookmarkStart w:id="784" w:name="_Toc12983532"/>
      <w:bookmarkStart w:id="785" w:name="_Toc19810"/>
      <w:bookmarkStart w:id="786" w:name="_Toc7858"/>
      <w:bookmarkStart w:id="787" w:name="_Toc12555"/>
      <w:bookmarkStart w:id="788" w:name="_Toc18515"/>
      <w:bookmarkStart w:id="789" w:name="_Toc19005"/>
      <w:bookmarkStart w:id="790" w:name="_Toc378514937"/>
      <w:bookmarkStart w:id="791" w:name="_Toc294723156"/>
      <w:bookmarkStart w:id="792" w:name="_Toc375039094"/>
      <w:r>
        <w:rPr>
          <w:rFonts w:hint="eastAsia" w:ascii="宋体" w:hAnsi="宋体"/>
          <w:color w:val="000000" w:themeColor="text1"/>
          <w:sz w:val="21"/>
          <w:szCs w:val="21"/>
          <w:highlight w:val="none"/>
          <w14:textFill>
            <w14:solidFill>
              <w14:schemeClr w14:val="tx1"/>
            </w14:solidFill>
          </w14:textFill>
        </w:rPr>
        <w:t>评审过程保密</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pPr>
        <w:tabs>
          <w:tab w:val="left" w:pos="420"/>
          <w:tab w:val="left" w:pos="113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24.1 递交比选文件后，直到宣布授予中选人且签订合同为止，凡属于审查、澄清、评价和比较比选申请的有关资料且与授予合同有关的信息，都不应向比选申请人或与该过程无关的其他人泄露。</w:t>
      </w:r>
    </w:p>
    <w:p>
      <w:pPr>
        <w:tabs>
          <w:tab w:val="left" w:pos="420"/>
          <w:tab w:val="left" w:pos="113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24.2 比选申请人在比选申请文件的审查、澄清、评价和比较以及授予合同的过程中，对比选人和评审专家施加影响的任何行为，都将导致取消比选申请资格。</w:t>
      </w:r>
    </w:p>
    <w:p>
      <w:pPr>
        <w:pStyle w:val="4"/>
        <w:numPr>
          <w:ilvl w:val="0"/>
          <w:numId w:val="5"/>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793" w:name="_Toc22510"/>
      <w:bookmarkStart w:id="794" w:name="_Toc25750618"/>
      <w:bookmarkStart w:id="795" w:name="_Toc27670"/>
      <w:bookmarkStart w:id="796" w:name="_Toc14799"/>
      <w:bookmarkStart w:id="797" w:name="_Toc5983"/>
      <w:bookmarkStart w:id="798" w:name="_Toc30429"/>
      <w:bookmarkStart w:id="799" w:name="_Toc1983"/>
      <w:bookmarkStart w:id="800" w:name="_Toc27553"/>
      <w:bookmarkStart w:id="801" w:name="_Toc8827"/>
      <w:bookmarkStart w:id="802" w:name="_Toc14860"/>
      <w:bookmarkStart w:id="803" w:name="_Toc6624"/>
      <w:bookmarkStart w:id="804" w:name="_Toc385427823"/>
      <w:bookmarkStart w:id="805" w:name="_Toc11077"/>
      <w:bookmarkStart w:id="806" w:name="_Toc23586"/>
      <w:bookmarkStart w:id="807" w:name="_Toc492478748"/>
      <w:bookmarkStart w:id="808" w:name="_Toc28898"/>
      <w:bookmarkStart w:id="809" w:name="_Toc12983533"/>
      <w:bookmarkStart w:id="810" w:name="_Toc13768"/>
      <w:bookmarkStart w:id="811" w:name="_Toc13743"/>
      <w:bookmarkStart w:id="812" w:name="_Toc23267"/>
      <w:bookmarkStart w:id="813" w:name="_Toc383891198"/>
      <w:bookmarkStart w:id="814" w:name="_Toc28843"/>
      <w:bookmarkStart w:id="815" w:name="_Toc390098449"/>
      <w:bookmarkStart w:id="816" w:name="_Toc114134635"/>
      <w:bookmarkStart w:id="817" w:name="_Toc24327"/>
      <w:bookmarkStart w:id="818" w:name="_Toc28701"/>
      <w:r>
        <w:rPr>
          <w:rFonts w:hint="eastAsia" w:ascii="宋体" w:hAnsi="宋体"/>
          <w:color w:val="000000" w:themeColor="text1"/>
          <w:sz w:val="21"/>
          <w:szCs w:val="21"/>
          <w:highlight w:val="none"/>
          <w14:textFill>
            <w14:solidFill>
              <w14:schemeClr w14:val="tx1"/>
            </w14:solidFill>
          </w14:textFill>
        </w:rPr>
        <w:t>比选申请文件的澄清</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pPr>
        <w:tabs>
          <w:tab w:val="left" w:pos="420"/>
          <w:tab w:val="left" w:pos="113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25.1 为了有助于比选申请文件的审查、评价和比较，评审委员会可以用书面形式要求比选申请人对比选申请文件含义不明确的内容作必要的澄清或者说明。有关澄清说明与答复、比选申请人应以书面形式进行，但对比选申请报价和实质性的内容不得更改。</w:t>
      </w:r>
    </w:p>
    <w:p>
      <w:pPr>
        <w:pStyle w:val="4"/>
        <w:numPr>
          <w:ilvl w:val="0"/>
          <w:numId w:val="5"/>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819" w:name="_Toc30176"/>
      <w:bookmarkStart w:id="820" w:name="_Toc385427824"/>
      <w:bookmarkStart w:id="821" w:name="_Toc26070"/>
      <w:bookmarkStart w:id="822" w:name="_Toc25750619"/>
      <w:bookmarkStart w:id="823" w:name="_Toc12983534"/>
      <w:bookmarkStart w:id="824" w:name="_Toc18093"/>
      <w:bookmarkStart w:id="825" w:name="_Toc383891199"/>
      <w:bookmarkStart w:id="826" w:name="_Toc9040"/>
      <w:bookmarkStart w:id="827" w:name="_Toc492478749"/>
      <w:bookmarkStart w:id="828" w:name="_Toc4397"/>
      <w:bookmarkStart w:id="829" w:name="_Toc28992"/>
      <w:bookmarkStart w:id="830" w:name="_Toc5437"/>
      <w:bookmarkStart w:id="831" w:name="_Toc6908"/>
      <w:bookmarkStart w:id="832" w:name="_Toc22681"/>
      <w:bookmarkStart w:id="833" w:name="_Toc30017"/>
      <w:bookmarkStart w:id="834" w:name="_Toc26318"/>
      <w:bookmarkStart w:id="835" w:name="_Toc1915"/>
      <w:bookmarkStart w:id="836" w:name="_Toc5607"/>
      <w:bookmarkStart w:id="837" w:name="_Toc8378"/>
      <w:bookmarkStart w:id="838" w:name="_Toc16884"/>
      <w:bookmarkStart w:id="839" w:name="_Toc20519"/>
      <w:bookmarkStart w:id="840" w:name="_Toc29146"/>
      <w:bookmarkStart w:id="841" w:name="_Toc390098450"/>
      <w:bookmarkStart w:id="842" w:name="_Toc12795"/>
      <w:bookmarkStart w:id="843" w:name="_Toc5926"/>
      <w:bookmarkStart w:id="844" w:name="_Toc114134636"/>
      <w:r>
        <w:rPr>
          <w:rFonts w:hint="eastAsia" w:ascii="宋体" w:hAnsi="宋体"/>
          <w:color w:val="000000" w:themeColor="text1"/>
          <w:sz w:val="21"/>
          <w:szCs w:val="21"/>
          <w:highlight w:val="none"/>
          <w14:textFill>
            <w14:solidFill>
              <w14:schemeClr w14:val="tx1"/>
            </w14:solidFill>
          </w14:textFill>
        </w:rPr>
        <w:t>比选申请文件响应性的确定</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pPr>
        <w:tabs>
          <w:tab w:val="left" w:pos="420"/>
          <w:tab w:val="left" w:pos="113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26.1 在详细评审之前，评审委员会将首先审定每份比选申请文件是否在实质上响应了比选文件的要求和规定。</w:t>
      </w:r>
    </w:p>
    <w:p>
      <w:pPr>
        <w:tabs>
          <w:tab w:val="left" w:pos="420"/>
          <w:tab w:val="left" w:pos="113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26.2 实质上响应要求的比选申请文件，应该是与比选文件要求的全部条款，合同条件和规范相符，无重大差异和保留。所谓重大差异或保留是指对服务的范围、质量及要求产生实质性影响；或者对合同中规定的比选人的权利及比选申请人的责任造成实质性限制；而且纠正这种差异或保留，将会对其他实质上响应要求的比选申请人的竞争地位产生不公正的影响。决定比选申请文件的响应性只根据比选申请文件本身的内容，而不寻求外部的证据。</w:t>
      </w:r>
    </w:p>
    <w:p>
      <w:pPr>
        <w:tabs>
          <w:tab w:val="left" w:pos="420"/>
          <w:tab w:val="left" w:pos="113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26.3 如果比选申请文件实质上不响应比选文件的要求，比选人将予以拒绝，并且不允许比选申请人通过修正或撤销其不符要求的差异或保留使之成为具有响应性的比选申请。</w:t>
      </w:r>
    </w:p>
    <w:p>
      <w:pPr>
        <w:pStyle w:val="4"/>
        <w:numPr>
          <w:ilvl w:val="0"/>
          <w:numId w:val="5"/>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845" w:name="_Toc1027"/>
      <w:bookmarkStart w:id="846" w:name="_Toc21468"/>
      <w:bookmarkStart w:id="847" w:name="_Toc15051"/>
      <w:bookmarkStart w:id="848" w:name="_Toc25750620"/>
      <w:bookmarkStart w:id="849" w:name="_Toc12167"/>
      <w:bookmarkStart w:id="850" w:name="_Toc29398"/>
      <w:bookmarkStart w:id="851" w:name="_Toc17236"/>
      <w:bookmarkStart w:id="852" w:name="_Toc23956"/>
      <w:bookmarkStart w:id="853" w:name="_Toc492478750"/>
      <w:bookmarkStart w:id="854" w:name="_Toc20912"/>
      <w:bookmarkStart w:id="855" w:name="_Toc4436"/>
      <w:bookmarkStart w:id="856" w:name="_Toc383891200"/>
      <w:bookmarkStart w:id="857" w:name="_Toc20874"/>
      <w:bookmarkStart w:id="858" w:name="_Toc20810"/>
      <w:bookmarkStart w:id="859" w:name="_Toc26239"/>
      <w:bookmarkStart w:id="860" w:name="_Toc23999"/>
      <w:bookmarkStart w:id="861" w:name="_Toc390098451"/>
      <w:bookmarkStart w:id="862" w:name="_Toc114134637"/>
      <w:bookmarkStart w:id="863" w:name="_Toc12983535"/>
      <w:bookmarkStart w:id="864" w:name="_Toc19477"/>
      <w:bookmarkStart w:id="865" w:name="_Toc21908"/>
      <w:bookmarkStart w:id="866" w:name="_Toc22146"/>
      <w:bookmarkStart w:id="867" w:name="_Toc22063"/>
      <w:bookmarkStart w:id="868" w:name="_Toc31646"/>
      <w:bookmarkStart w:id="869" w:name="_Toc385427825"/>
      <w:bookmarkStart w:id="870" w:name="_Toc23808"/>
      <w:r>
        <w:rPr>
          <w:rFonts w:hint="eastAsia" w:ascii="宋体" w:hAnsi="宋体"/>
          <w:color w:val="000000" w:themeColor="text1"/>
          <w:sz w:val="21"/>
          <w:szCs w:val="21"/>
          <w:highlight w:val="none"/>
          <w14:textFill>
            <w14:solidFill>
              <w14:schemeClr w14:val="tx1"/>
            </w14:solidFill>
          </w14:textFill>
        </w:rPr>
        <w:t>比选申请文件计算错误的修正</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pPr>
        <w:tabs>
          <w:tab w:val="left" w:pos="420"/>
          <w:tab w:val="left" w:pos="113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27.1 比选申请报价大写金额与小写金额不一致的，以大写金额为准；</w:t>
      </w:r>
      <w:r>
        <w:rPr>
          <w:rFonts w:ascii="宋体" w:hAnsi="宋体"/>
          <w:color w:val="000000" w:themeColor="text1"/>
          <w:highlight w:val="none"/>
          <w14:textFill>
            <w14:solidFill>
              <w14:schemeClr w14:val="tx1"/>
            </w14:solidFill>
          </w14:textFill>
        </w:rPr>
        <w:t>总价金额与单价</w:t>
      </w:r>
      <w:r>
        <w:rPr>
          <w:rFonts w:hint="eastAsia" w:ascii="宋体" w:hAnsi="宋体"/>
          <w:color w:val="000000" w:themeColor="text1"/>
          <w:highlight w:val="none"/>
          <w14:textFill>
            <w14:solidFill>
              <w14:schemeClr w14:val="tx1"/>
            </w14:solidFill>
          </w14:textFill>
        </w:rPr>
        <w:t>乘以数量的合计</w:t>
      </w:r>
      <w:r>
        <w:rPr>
          <w:rFonts w:ascii="宋体" w:hAnsi="宋体"/>
          <w:color w:val="000000" w:themeColor="text1"/>
          <w:highlight w:val="none"/>
          <w14:textFill>
            <w14:solidFill>
              <w14:schemeClr w14:val="tx1"/>
            </w14:solidFill>
          </w14:textFill>
        </w:rPr>
        <w:t>计算出的结果不一致的，以单价为准修正总价，但单价金额小数点有明显错误的除外。</w:t>
      </w:r>
    </w:p>
    <w:p>
      <w:pPr>
        <w:tabs>
          <w:tab w:val="left" w:pos="420"/>
          <w:tab w:val="left" w:pos="113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 xml:space="preserve">27.2 </w:t>
      </w:r>
      <w:r>
        <w:rPr>
          <w:rFonts w:hint="eastAsia"/>
          <w:color w:val="000000" w:themeColor="text1"/>
          <w:highlight w:val="none"/>
          <w14:textFill>
            <w14:solidFill>
              <w14:schemeClr w14:val="tx1"/>
            </w14:solidFill>
          </w14:textFill>
        </w:rPr>
        <w:t>若</w:t>
      </w:r>
      <w:r>
        <w:rPr>
          <w:color w:val="000000" w:themeColor="text1"/>
          <w:highlight w:val="none"/>
          <w14:textFill>
            <w14:solidFill>
              <w14:schemeClr w14:val="tx1"/>
            </w14:solidFill>
          </w14:textFill>
        </w:rPr>
        <w:t>修正后的总价</w:t>
      </w:r>
      <w:r>
        <w:rPr>
          <w:rFonts w:hint="eastAsia"/>
          <w:color w:val="000000" w:themeColor="text1"/>
          <w:highlight w:val="none"/>
          <w14:textFill>
            <w14:solidFill>
              <w14:schemeClr w14:val="tx1"/>
            </w14:solidFill>
          </w14:textFill>
        </w:rPr>
        <w:t>与</w:t>
      </w:r>
      <w:r>
        <w:rPr>
          <w:color w:val="000000" w:themeColor="text1"/>
          <w:highlight w:val="none"/>
          <w14:textFill>
            <w14:solidFill>
              <w14:schemeClr w14:val="tx1"/>
            </w14:solidFill>
          </w14:textFill>
        </w:rPr>
        <w:t>投标报价</w:t>
      </w:r>
      <w:r>
        <w:rPr>
          <w:rFonts w:hint="eastAsia"/>
          <w:color w:val="000000" w:themeColor="text1"/>
          <w:highlight w:val="none"/>
          <w14:textFill>
            <w14:solidFill>
              <w14:schemeClr w14:val="tx1"/>
            </w14:solidFill>
          </w14:textFill>
        </w:rPr>
        <w:t>不相等</w:t>
      </w:r>
      <w:r>
        <w:rPr>
          <w:color w:val="000000" w:themeColor="text1"/>
          <w:highlight w:val="none"/>
          <w14:textFill>
            <w14:solidFill>
              <w14:schemeClr w14:val="tx1"/>
            </w14:solidFill>
          </w14:textFill>
        </w:rPr>
        <w:t>，则</w:t>
      </w:r>
      <w:r>
        <w:rPr>
          <w:rFonts w:hint="eastAsia"/>
          <w:color w:val="000000" w:themeColor="text1"/>
          <w:highlight w:val="none"/>
          <w14:textFill>
            <w14:solidFill>
              <w14:schemeClr w14:val="tx1"/>
            </w14:solidFill>
          </w14:textFill>
        </w:rPr>
        <w:t>评标总价和</w:t>
      </w:r>
      <w:r>
        <w:rPr>
          <w:color w:val="000000" w:themeColor="text1"/>
          <w:highlight w:val="none"/>
          <w14:textFill>
            <w14:solidFill>
              <w14:schemeClr w14:val="tx1"/>
            </w14:solidFill>
          </w14:textFill>
        </w:rPr>
        <w:t>中标价</w:t>
      </w:r>
      <w:r>
        <w:rPr>
          <w:rFonts w:hint="eastAsia"/>
          <w:color w:val="000000" w:themeColor="text1"/>
          <w:highlight w:val="none"/>
          <w14:textFill>
            <w14:solidFill>
              <w14:schemeClr w14:val="tx1"/>
            </w14:solidFill>
          </w14:textFill>
        </w:rPr>
        <w:t>均</w:t>
      </w:r>
      <w:r>
        <w:rPr>
          <w:color w:val="000000" w:themeColor="text1"/>
          <w:highlight w:val="none"/>
          <w14:textFill>
            <w14:solidFill>
              <w14:schemeClr w14:val="tx1"/>
            </w14:solidFill>
          </w14:textFill>
        </w:rPr>
        <w:t>以</w:t>
      </w:r>
      <w:r>
        <w:rPr>
          <w:rFonts w:hint="eastAsia"/>
          <w:color w:val="000000" w:themeColor="text1"/>
          <w:highlight w:val="none"/>
          <w14:textFill>
            <w14:solidFill>
              <w14:schemeClr w14:val="tx1"/>
            </w14:solidFill>
          </w14:textFill>
        </w:rPr>
        <w:t>修正后的总价</w:t>
      </w:r>
      <w:r>
        <w:rPr>
          <w:color w:val="000000" w:themeColor="text1"/>
          <w:highlight w:val="none"/>
          <w14:textFill>
            <w14:solidFill>
              <w14:schemeClr w14:val="tx1"/>
            </w14:solidFill>
          </w14:textFill>
        </w:rPr>
        <w:t>为准，</w:t>
      </w:r>
      <w:r>
        <w:rPr>
          <w:rFonts w:hint="eastAsia"/>
          <w:color w:val="000000" w:themeColor="text1"/>
          <w:highlight w:val="none"/>
          <w14:textFill>
            <w14:solidFill>
              <w14:schemeClr w14:val="tx1"/>
            </w14:solidFill>
          </w14:textFill>
        </w:rPr>
        <w:t>如比选申请人不接受按以上规则确定的评标总价和中标价，则其投标将被拒绝。</w:t>
      </w:r>
    </w:p>
    <w:p>
      <w:pPr>
        <w:pStyle w:val="4"/>
        <w:numPr>
          <w:ilvl w:val="0"/>
          <w:numId w:val="5"/>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871" w:name="_Toc383891201"/>
      <w:bookmarkStart w:id="872" w:name="_Toc9737"/>
      <w:bookmarkStart w:id="873" w:name="_Toc1004"/>
      <w:bookmarkStart w:id="874" w:name="_Toc24176"/>
      <w:bookmarkStart w:id="875" w:name="_Toc390098452"/>
      <w:bookmarkStart w:id="876" w:name="_Toc4958"/>
      <w:bookmarkStart w:id="877" w:name="_Toc23907"/>
      <w:bookmarkStart w:id="878" w:name="_Toc20444"/>
      <w:bookmarkStart w:id="879" w:name="_Toc20854"/>
      <w:bookmarkStart w:id="880" w:name="_Toc29276"/>
      <w:bookmarkStart w:id="881" w:name="_Toc15554"/>
      <w:bookmarkStart w:id="882" w:name="_Toc8959"/>
      <w:bookmarkStart w:id="883" w:name="_Toc22994"/>
      <w:bookmarkStart w:id="884" w:name="_Toc19936"/>
      <w:bookmarkStart w:id="885" w:name="_Toc15839"/>
      <w:bookmarkStart w:id="886" w:name="_Toc9812"/>
      <w:bookmarkStart w:id="887" w:name="_Toc5319"/>
      <w:bookmarkStart w:id="888" w:name="_Toc16418"/>
      <w:bookmarkStart w:id="889" w:name="_Toc27112"/>
      <w:bookmarkStart w:id="890" w:name="_Toc12983536"/>
      <w:bookmarkStart w:id="891" w:name="_Toc25750621"/>
      <w:bookmarkStart w:id="892" w:name="_Toc3258"/>
      <w:bookmarkStart w:id="893" w:name="_Toc385427826"/>
      <w:bookmarkStart w:id="894" w:name="_Toc492478751"/>
      <w:bookmarkStart w:id="895" w:name="_Toc20881"/>
      <w:bookmarkStart w:id="896" w:name="_Toc114134638"/>
      <w:r>
        <w:rPr>
          <w:rFonts w:hint="eastAsia" w:ascii="宋体" w:hAnsi="宋体"/>
          <w:color w:val="000000" w:themeColor="text1"/>
          <w:sz w:val="21"/>
          <w:szCs w:val="21"/>
          <w:highlight w:val="none"/>
          <w14:textFill>
            <w14:solidFill>
              <w14:schemeClr w14:val="tx1"/>
            </w14:solidFill>
          </w14:textFill>
        </w:rPr>
        <w:t>比选申请文件的评价与比较</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pPr>
        <w:tabs>
          <w:tab w:val="left" w:pos="420"/>
          <w:tab w:val="left" w:pos="113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28.1 《评审办法》详见比选文件第六章，比选人将按照《评审办法》对本须知第26条确定为实质上响应比选文件要求的比选申请文件进行评价与比较。</w:t>
      </w:r>
    </w:p>
    <w:p>
      <w:pPr>
        <w:tabs>
          <w:tab w:val="left" w:pos="420"/>
          <w:tab w:val="left" w:pos="113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28.2 评审将按《评审办法》规定执行。</w:t>
      </w:r>
      <w:bookmarkEnd w:id="790"/>
    </w:p>
    <w:p>
      <w:pPr>
        <w:pStyle w:val="4"/>
        <w:numPr>
          <w:ilvl w:val="0"/>
          <w:numId w:val="5"/>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897" w:name="_Toc3358"/>
      <w:bookmarkStart w:id="898" w:name="_Toc27803"/>
      <w:bookmarkStart w:id="899" w:name="_Toc12983537"/>
      <w:bookmarkStart w:id="900" w:name="_Toc28489"/>
      <w:bookmarkStart w:id="901" w:name="_Toc22500"/>
      <w:bookmarkStart w:id="902" w:name="_Toc390098453"/>
      <w:bookmarkStart w:id="903" w:name="_Toc11657"/>
      <w:bookmarkStart w:id="904" w:name="_Toc385427827"/>
      <w:bookmarkStart w:id="905" w:name="_Toc19322"/>
      <w:bookmarkStart w:id="906" w:name="_Toc1083"/>
      <w:bookmarkStart w:id="907" w:name="_Toc114134639"/>
      <w:bookmarkStart w:id="908" w:name="_Toc8845"/>
      <w:bookmarkStart w:id="909" w:name="_Toc11010"/>
      <w:bookmarkStart w:id="910" w:name="_Toc507"/>
      <w:bookmarkStart w:id="911" w:name="_Toc31774"/>
      <w:bookmarkStart w:id="912" w:name="_Toc383891202"/>
      <w:bookmarkStart w:id="913" w:name="_Toc32344"/>
      <w:bookmarkStart w:id="914" w:name="_Toc27289"/>
      <w:bookmarkStart w:id="915" w:name="_Toc25750622"/>
      <w:bookmarkStart w:id="916" w:name="_Toc17460"/>
      <w:bookmarkStart w:id="917" w:name="_Toc31731"/>
      <w:bookmarkStart w:id="918" w:name="_Toc492478752"/>
      <w:bookmarkStart w:id="919" w:name="_Toc14300"/>
      <w:bookmarkStart w:id="920" w:name="_Toc8074"/>
      <w:bookmarkStart w:id="921" w:name="_Toc15146"/>
      <w:bookmarkStart w:id="922" w:name="_Toc1450"/>
      <w:r>
        <w:rPr>
          <w:rFonts w:hint="eastAsia" w:ascii="宋体" w:hAnsi="宋体"/>
          <w:color w:val="000000" w:themeColor="text1"/>
          <w:sz w:val="21"/>
          <w:szCs w:val="21"/>
          <w:highlight w:val="none"/>
          <w14:textFill>
            <w14:solidFill>
              <w14:schemeClr w14:val="tx1"/>
            </w14:solidFill>
          </w14:textFill>
        </w:rPr>
        <w:t>定标</w:t>
      </w:r>
      <w:bookmarkEnd w:id="791"/>
      <w:bookmarkEnd w:id="792"/>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pPr>
        <w:tabs>
          <w:tab w:val="left" w:pos="1134"/>
          <w:tab w:val="left" w:pos="836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ascii="宋体" w:hAnsi="宋体" w:cs="Arial"/>
          <w:color w:val="000000" w:themeColor="text1"/>
          <w:highlight w:val="none"/>
          <w14:textFill>
            <w14:solidFill>
              <w14:schemeClr w14:val="tx1"/>
            </w14:solidFill>
          </w14:textFill>
        </w:rPr>
        <w:t>29.1</w:t>
      </w:r>
      <w:r>
        <w:rPr>
          <w:rFonts w:hint="eastAsia"/>
          <w:color w:val="000000" w:themeColor="text1"/>
          <w:highlight w:val="none"/>
          <w14:textFill>
            <w14:solidFill>
              <w14:schemeClr w14:val="tx1"/>
            </w14:solidFill>
          </w14:textFill>
        </w:rPr>
        <w:t>评标委员会根据综合评分排名情况，推荐3名中标候选人（当中标候选人不足3名时按实际数量推荐），并标明排序</w:t>
      </w:r>
      <w:r>
        <w:rPr>
          <w:rFonts w:hint="eastAsia" w:ascii="宋体" w:hAnsi="宋体" w:cs="Arial"/>
          <w:color w:val="000000" w:themeColor="text1"/>
          <w:highlight w:val="none"/>
          <w14:textFill>
            <w14:solidFill>
              <w14:schemeClr w14:val="tx1"/>
            </w14:solidFill>
          </w14:textFill>
        </w:rPr>
        <w:t>。</w:t>
      </w:r>
    </w:p>
    <w:p>
      <w:pPr>
        <w:tabs>
          <w:tab w:val="left" w:pos="1134"/>
          <w:tab w:val="left" w:pos="836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ascii="宋体" w:hAnsi="宋体" w:cs="Arial"/>
          <w:color w:val="000000" w:themeColor="text1"/>
          <w:highlight w:val="none"/>
          <w14:textFill>
            <w14:solidFill>
              <w14:schemeClr w14:val="tx1"/>
            </w14:solidFill>
          </w14:textFill>
        </w:rPr>
        <w:t>29.2</w:t>
      </w:r>
      <w:r>
        <w:rPr>
          <w:rFonts w:hint="eastAsia" w:ascii="宋体" w:hAnsi="宋体" w:cs="Arial"/>
          <w:color w:val="000000" w:themeColor="text1"/>
          <w:highlight w:val="none"/>
          <w14:textFill>
            <w14:solidFill>
              <w14:schemeClr w14:val="tx1"/>
            </w14:solidFill>
          </w14:textFill>
        </w:rPr>
        <w:t>比选人应当确定排名第一的中选候选人为中选人。排名第一的中选候选人放弃中选、因不可抗力不能履行合同、不按照比选文件要求提交履约保证金，或者被查实存在影响中选结果的违法行为等情形，不符合中选条件的，比选人可以按照评审委员会提出的中选候选人名单排序依次确定其他中选候选人为中选人，也可以重新比选。同时，比选人有权禁止其1年内不得参与属于比选人的项目。</w:t>
      </w:r>
    </w:p>
    <w:p>
      <w:pPr>
        <w:tabs>
          <w:tab w:val="left" w:pos="1134"/>
          <w:tab w:val="left" w:pos="836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ascii="宋体" w:hAnsi="宋体" w:cs="Arial"/>
          <w:color w:val="000000" w:themeColor="text1"/>
          <w:highlight w:val="none"/>
          <w14:textFill>
            <w14:solidFill>
              <w14:schemeClr w14:val="tx1"/>
            </w14:solidFill>
          </w14:textFill>
        </w:rPr>
        <w:t>29.3</w:t>
      </w:r>
      <w:r>
        <w:rPr>
          <w:rFonts w:hint="eastAsia" w:ascii="宋体" w:hAnsi="宋体" w:cs="Arial"/>
          <w:color w:val="000000" w:themeColor="text1"/>
          <w:highlight w:val="none"/>
          <w14:textFill>
            <w14:solidFill>
              <w14:schemeClr w14:val="tx1"/>
            </w14:solidFill>
          </w14:textFill>
        </w:rPr>
        <w:t>比选申请人应确保提供的资料真实无误，如有弄虚作假的情况，一经查实，取消比选申请资格，已经中选的取消中选资格。</w:t>
      </w:r>
    </w:p>
    <w:p>
      <w:pPr>
        <w:tabs>
          <w:tab w:val="left" w:pos="1134"/>
          <w:tab w:val="left" w:pos="836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ascii="宋体" w:hAnsi="宋体" w:cs="Arial"/>
          <w:color w:val="000000" w:themeColor="text1"/>
          <w:highlight w:val="none"/>
          <w14:textFill>
            <w14:solidFill>
              <w14:schemeClr w14:val="tx1"/>
            </w14:solidFill>
          </w14:textFill>
        </w:rPr>
        <w:t>29.4</w:t>
      </w:r>
      <w:r>
        <w:rPr>
          <w:rFonts w:hint="eastAsia" w:ascii="宋体" w:hAnsi="宋体" w:cs="Arial"/>
          <w:color w:val="000000" w:themeColor="text1"/>
          <w:highlight w:val="none"/>
          <w14:textFill>
            <w14:solidFill>
              <w14:schemeClr w14:val="tx1"/>
            </w14:solidFill>
          </w14:textFill>
        </w:rPr>
        <w:t>比选人确定的中选人必须按有关规定进行公示。</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s="Arial"/>
          <w:color w:val="000000" w:themeColor="text1"/>
          <w:highlight w:val="none"/>
          <w14:textFill>
            <w14:solidFill>
              <w14:schemeClr w14:val="tx1"/>
            </w14:solidFill>
          </w14:textFill>
        </w:rPr>
        <w:t>29.5</w:t>
      </w:r>
      <w:r>
        <w:rPr>
          <w:rFonts w:hint="eastAsia" w:ascii="宋体" w:hAnsi="宋体" w:cs="Arial"/>
          <w:color w:val="000000" w:themeColor="text1"/>
          <w:highlight w:val="none"/>
          <w14:textFill>
            <w14:solidFill>
              <w14:schemeClr w14:val="tx1"/>
            </w14:solidFill>
          </w14:textFill>
        </w:rPr>
        <w:t>评审委员会评审结束后，比选人经审查发现评审过程中有明显错误，可以组织原评审委员会进行复评。</w:t>
      </w:r>
    </w:p>
    <w:p>
      <w:pPr>
        <w:pStyle w:val="4"/>
        <w:numPr>
          <w:ilvl w:val="0"/>
          <w:numId w:val="5"/>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923" w:name="_Toc15932"/>
      <w:bookmarkStart w:id="924" w:name="_Toc5172"/>
      <w:bookmarkStart w:id="925" w:name="_Toc14042"/>
      <w:bookmarkStart w:id="926" w:name="_Toc27664"/>
      <w:bookmarkStart w:id="927" w:name="_Toc17823"/>
      <w:bookmarkStart w:id="928" w:name="_Toc13986"/>
      <w:bookmarkStart w:id="929" w:name="_Toc375039095"/>
      <w:bookmarkStart w:id="930" w:name="_Toc18192"/>
      <w:bookmarkStart w:id="931" w:name="_Toc21142"/>
      <w:bookmarkStart w:id="932" w:name="_Toc37"/>
      <w:bookmarkStart w:id="933" w:name="_Toc21947"/>
      <w:bookmarkStart w:id="934" w:name="_Toc3761"/>
      <w:bookmarkStart w:id="935" w:name="_Toc1215"/>
      <w:bookmarkStart w:id="936" w:name="_Toc22182"/>
      <w:bookmarkStart w:id="937" w:name="_Toc390098454"/>
      <w:bookmarkStart w:id="938" w:name="_Toc5257"/>
      <w:bookmarkStart w:id="939" w:name="_Toc26470"/>
      <w:bookmarkStart w:id="940" w:name="_Toc16732"/>
      <w:bookmarkStart w:id="941" w:name="_Toc12983538"/>
      <w:bookmarkStart w:id="942" w:name="_Toc492478753"/>
      <w:bookmarkStart w:id="943" w:name="_Toc19634"/>
      <w:bookmarkStart w:id="944" w:name="_Toc383891203"/>
      <w:bookmarkStart w:id="945" w:name="_Toc385427828"/>
      <w:bookmarkStart w:id="946" w:name="_Toc114134640"/>
      <w:bookmarkStart w:id="947" w:name="_Toc25750623"/>
      <w:bookmarkStart w:id="948" w:name="_Toc13088"/>
      <w:bookmarkStart w:id="949" w:name="_Toc3683"/>
      <w:r>
        <w:rPr>
          <w:rFonts w:hint="eastAsia" w:ascii="宋体" w:hAnsi="宋体"/>
          <w:color w:val="000000" w:themeColor="text1"/>
          <w:sz w:val="21"/>
          <w:szCs w:val="21"/>
          <w:highlight w:val="none"/>
          <w14:textFill>
            <w14:solidFill>
              <w14:schemeClr w14:val="tx1"/>
            </w14:solidFill>
          </w14:textFill>
        </w:rPr>
        <w:t>重新</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r>
        <w:rPr>
          <w:rFonts w:hint="eastAsia" w:ascii="宋体" w:hAnsi="宋体"/>
          <w:color w:val="000000" w:themeColor="text1"/>
          <w:sz w:val="21"/>
          <w:szCs w:val="21"/>
          <w:highlight w:val="none"/>
          <w14:textFill>
            <w14:solidFill>
              <w14:schemeClr w14:val="tx1"/>
            </w14:solidFill>
          </w14:textFill>
        </w:rPr>
        <w:t>比选</w:t>
      </w:r>
      <w:bookmarkEnd w:id="946"/>
      <w:bookmarkEnd w:id="947"/>
      <w:bookmarkEnd w:id="948"/>
      <w:bookmarkEnd w:id="949"/>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出现下列特殊情况之一时，可重新</w:t>
      </w:r>
      <w:r>
        <w:rPr>
          <w:rFonts w:hint="eastAsia" w:ascii="宋体" w:hAnsi="宋体"/>
          <w:color w:val="000000" w:themeColor="text1"/>
          <w:highlight w:val="none"/>
          <w14:textFill>
            <w14:solidFill>
              <w14:schemeClr w14:val="tx1"/>
            </w14:solidFill>
          </w14:textFill>
        </w:rPr>
        <w:t>比选</w:t>
      </w:r>
      <w:r>
        <w:rPr>
          <w:rFonts w:ascii="宋体" w:hAnsi="宋体"/>
          <w:color w:val="000000" w:themeColor="text1"/>
          <w:highlight w:val="none"/>
          <w14:textFill>
            <w14:solidFill>
              <w14:schemeClr w14:val="tx1"/>
            </w14:solidFill>
          </w14:textFill>
        </w:rPr>
        <w:t>：</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30.1</w:t>
      </w:r>
      <w:r>
        <w:rPr>
          <w:rFonts w:ascii="宋体" w:hAnsi="宋体"/>
          <w:color w:val="000000" w:themeColor="text1"/>
          <w:highlight w:val="none"/>
          <w14:textFill>
            <w14:solidFill>
              <w14:schemeClr w14:val="tx1"/>
            </w14:solidFill>
          </w14:textFill>
        </w:rPr>
        <w:t>在比选申请截止时间到达时提交比选申请文件的比选申请人</w:t>
      </w:r>
      <w:r>
        <w:rPr>
          <w:rFonts w:hint="eastAsia" w:ascii="宋体" w:hAnsi="宋体"/>
          <w:color w:val="000000" w:themeColor="text1"/>
          <w:highlight w:val="none"/>
          <w14:textFill>
            <w14:solidFill>
              <w14:schemeClr w14:val="tx1"/>
            </w14:solidFill>
          </w14:textFill>
        </w:rPr>
        <w:t>不足3家</w:t>
      </w:r>
      <w:r>
        <w:rPr>
          <w:rFonts w:ascii="宋体" w:hAnsi="宋体"/>
          <w:color w:val="000000" w:themeColor="text1"/>
          <w:highlight w:val="none"/>
          <w14:textFill>
            <w14:solidFill>
              <w14:schemeClr w14:val="tx1"/>
            </w14:solidFill>
          </w14:textFill>
        </w:rPr>
        <w:t>的；</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30.2</w:t>
      </w:r>
      <w:r>
        <w:rPr>
          <w:rFonts w:ascii="宋体" w:hAnsi="宋体"/>
          <w:color w:val="000000" w:themeColor="text1"/>
          <w:highlight w:val="none"/>
          <w14:textFill>
            <w14:solidFill>
              <w14:schemeClr w14:val="tx1"/>
            </w14:solidFill>
          </w14:textFill>
        </w:rPr>
        <w:t>评审委员会否决不合格比选申请或者界定为否决比选申请后，因有效比选申请不足三</w:t>
      </w:r>
      <w:r>
        <w:rPr>
          <w:rFonts w:hint="eastAsia" w:ascii="宋体" w:hAnsi="宋体"/>
          <w:color w:val="000000" w:themeColor="text1"/>
          <w:highlight w:val="none"/>
          <w14:textFill>
            <w14:solidFill>
              <w14:schemeClr w14:val="tx1"/>
            </w14:solidFill>
          </w14:textFill>
        </w:rPr>
        <w:t>家</w:t>
      </w:r>
      <w:r>
        <w:rPr>
          <w:rFonts w:ascii="宋体" w:hAnsi="宋体"/>
          <w:color w:val="000000" w:themeColor="text1"/>
          <w:highlight w:val="none"/>
          <w14:textFill>
            <w14:solidFill>
              <w14:schemeClr w14:val="tx1"/>
            </w14:solidFill>
          </w14:textFill>
        </w:rPr>
        <w:t>使得比选申请明显缺乏竞争性的（当有效比选申请不足三</w:t>
      </w:r>
      <w:r>
        <w:rPr>
          <w:rFonts w:hint="eastAsia" w:ascii="宋体" w:hAnsi="宋体"/>
          <w:color w:val="000000" w:themeColor="text1"/>
          <w:highlight w:val="none"/>
          <w14:textFill>
            <w14:solidFill>
              <w14:schemeClr w14:val="tx1"/>
            </w14:solidFill>
          </w14:textFill>
        </w:rPr>
        <w:t>家但还有两家</w:t>
      </w:r>
      <w:r>
        <w:rPr>
          <w:rFonts w:ascii="宋体" w:hAnsi="宋体"/>
          <w:color w:val="000000" w:themeColor="text1"/>
          <w:highlight w:val="none"/>
          <w14:textFill>
            <w14:solidFill>
              <w14:schemeClr w14:val="tx1"/>
            </w14:solidFill>
          </w14:textFill>
        </w:rPr>
        <w:t>时，评审委员会认为剩余</w:t>
      </w:r>
      <w:r>
        <w:rPr>
          <w:rFonts w:hint="eastAsia" w:ascii="宋体" w:hAnsi="宋体"/>
          <w:color w:val="000000" w:themeColor="text1"/>
          <w:highlight w:val="none"/>
          <w14:textFill>
            <w14:solidFill>
              <w14:schemeClr w14:val="tx1"/>
            </w14:solidFill>
          </w14:textFill>
        </w:rPr>
        <w:t>两家</w:t>
      </w:r>
      <w:r>
        <w:rPr>
          <w:rFonts w:ascii="宋体" w:hAnsi="宋体"/>
          <w:color w:val="000000" w:themeColor="text1"/>
          <w:highlight w:val="none"/>
          <w14:textFill>
            <w14:solidFill>
              <w14:schemeClr w14:val="tx1"/>
            </w14:solidFill>
          </w14:textFill>
        </w:rPr>
        <w:t>的比选申请文件仍具有竞争性的，应继续评审）；</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30.</w:t>
      </w:r>
      <w:r>
        <w:rPr>
          <w:rFonts w:hint="eastAsia" w:ascii="宋体" w:hAnsi="宋体"/>
          <w:color w:val="000000" w:themeColor="text1"/>
          <w:highlight w:val="none"/>
          <w14:textFill>
            <w14:solidFill>
              <w14:schemeClr w14:val="tx1"/>
            </w14:solidFill>
          </w14:textFill>
        </w:rPr>
        <w:t>3</w:t>
      </w:r>
      <w:r>
        <w:rPr>
          <w:rFonts w:ascii="宋体" w:hAnsi="宋体"/>
          <w:color w:val="000000" w:themeColor="text1"/>
          <w:highlight w:val="none"/>
          <w14:textFill>
            <w14:solidFill>
              <w14:schemeClr w14:val="tx1"/>
            </w14:solidFill>
          </w14:textFill>
        </w:rPr>
        <w:t>评审委员会决定否决全部比选申请的；</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30.4</w:t>
      </w:r>
      <w:r>
        <w:rPr>
          <w:rFonts w:ascii="宋体" w:hAnsi="宋体"/>
          <w:color w:val="000000" w:themeColor="text1"/>
          <w:highlight w:val="none"/>
          <w14:textFill>
            <w14:solidFill>
              <w14:schemeClr w14:val="tx1"/>
            </w14:solidFill>
          </w14:textFill>
        </w:rPr>
        <w:t>中选候选人均放弃中选资格</w:t>
      </w:r>
      <w:r>
        <w:rPr>
          <w:rFonts w:hint="eastAsia" w:ascii="宋体" w:hAnsi="宋体"/>
          <w:color w:val="000000" w:themeColor="text1"/>
          <w:highlight w:val="none"/>
          <w14:textFill>
            <w14:solidFill>
              <w14:schemeClr w14:val="tx1"/>
            </w14:solidFill>
          </w14:textFill>
        </w:rPr>
        <w:t>的</w:t>
      </w:r>
      <w:r>
        <w:rPr>
          <w:rFonts w:ascii="宋体" w:hAnsi="宋体"/>
          <w:color w:val="000000" w:themeColor="text1"/>
          <w:highlight w:val="none"/>
          <w14:textFill>
            <w14:solidFill>
              <w14:schemeClr w14:val="tx1"/>
            </w14:solidFill>
          </w14:textFill>
        </w:rPr>
        <w:t>；</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30.5</w:t>
      </w:r>
      <w:r>
        <w:rPr>
          <w:rFonts w:ascii="宋体" w:hAnsi="宋体"/>
          <w:color w:val="000000" w:themeColor="text1"/>
          <w:highlight w:val="none"/>
          <w14:textFill>
            <w14:solidFill>
              <w14:schemeClr w14:val="tx1"/>
            </w14:solidFill>
          </w14:textFill>
        </w:rPr>
        <w:t>根据本须知</w:t>
      </w:r>
      <w:r>
        <w:rPr>
          <w:rFonts w:hint="eastAsia" w:ascii="宋体" w:hAnsi="宋体"/>
          <w:color w:val="000000" w:themeColor="text1"/>
          <w:highlight w:val="none"/>
          <w14:textFill>
            <w14:solidFill>
              <w14:schemeClr w14:val="tx1"/>
            </w14:solidFill>
          </w14:textFill>
        </w:rPr>
        <w:t>第</w:t>
      </w:r>
      <w:r>
        <w:rPr>
          <w:rFonts w:ascii="宋体" w:hAnsi="宋体"/>
          <w:color w:val="000000" w:themeColor="text1"/>
          <w:highlight w:val="none"/>
          <w14:textFill>
            <w14:solidFill>
              <w14:schemeClr w14:val="tx1"/>
            </w14:solidFill>
          </w14:textFill>
        </w:rPr>
        <w:t>15</w:t>
      </w:r>
      <w:r>
        <w:rPr>
          <w:rFonts w:hint="eastAsia" w:ascii="宋体" w:hAnsi="宋体"/>
          <w:color w:val="000000" w:themeColor="text1"/>
          <w:highlight w:val="none"/>
          <w14:textFill>
            <w14:solidFill>
              <w14:schemeClr w14:val="tx1"/>
            </w14:solidFill>
          </w14:textFill>
        </w:rPr>
        <w:t>.2</w:t>
      </w:r>
      <w:r>
        <w:rPr>
          <w:rFonts w:ascii="宋体" w:hAnsi="宋体"/>
          <w:color w:val="000000" w:themeColor="text1"/>
          <w:highlight w:val="none"/>
          <w14:textFill>
            <w14:solidFill>
              <w14:schemeClr w14:val="tx1"/>
            </w14:solidFill>
          </w14:textFill>
        </w:rPr>
        <w:t>条规定，</w:t>
      </w:r>
      <w:r>
        <w:rPr>
          <w:rFonts w:hint="eastAsia" w:ascii="宋体" w:hAnsi="宋体"/>
          <w:color w:val="000000" w:themeColor="text1"/>
          <w:highlight w:val="none"/>
          <w14:textFill>
            <w14:solidFill>
              <w14:schemeClr w14:val="tx1"/>
            </w14:solidFill>
          </w14:textFill>
        </w:rPr>
        <w:t>所有中选候选人均不同意在比选申请有效期内延长比选申请有效期的。</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30.6比选文件中规定的其他情况。</w:t>
      </w:r>
    </w:p>
    <w:p>
      <w:pPr>
        <w:pStyle w:val="4"/>
        <w:numPr>
          <w:ilvl w:val="0"/>
          <w:numId w:val="5"/>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950" w:name="_Toc385427829"/>
      <w:bookmarkStart w:id="951" w:name="_Toc375039096"/>
      <w:bookmarkStart w:id="952" w:name="_Toc2422"/>
      <w:bookmarkStart w:id="953" w:name="_Toc25257"/>
      <w:bookmarkStart w:id="954" w:name="_Toc5959"/>
      <w:bookmarkStart w:id="955" w:name="_Toc14454"/>
      <w:bookmarkStart w:id="956" w:name="_Toc6886"/>
      <w:bookmarkStart w:id="957" w:name="_Toc11126"/>
      <w:bookmarkStart w:id="958" w:name="_Toc26954"/>
      <w:bookmarkStart w:id="959" w:name="_Toc492478754"/>
      <w:bookmarkStart w:id="960" w:name="_Toc10962"/>
      <w:bookmarkStart w:id="961" w:name="_Toc12031"/>
      <w:bookmarkStart w:id="962" w:name="_Toc1945"/>
      <w:bookmarkStart w:id="963" w:name="_Toc383891204"/>
      <w:bookmarkStart w:id="964" w:name="_Toc31757"/>
      <w:bookmarkStart w:id="965" w:name="_Toc1116"/>
      <w:bookmarkStart w:id="966" w:name="_Toc20979"/>
      <w:bookmarkStart w:id="967" w:name="_Toc26919"/>
      <w:bookmarkStart w:id="968" w:name="_Toc17042"/>
      <w:bookmarkStart w:id="969" w:name="_Toc390098455"/>
      <w:bookmarkStart w:id="970" w:name="_Toc3769"/>
      <w:bookmarkStart w:id="971" w:name="_Toc12983539"/>
      <w:bookmarkStart w:id="972" w:name="_Toc14235"/>
      <w:bookmarkStart w:id="973" w:name="_Toc27072"/>
      <w:bookmarkStart w:id="974" w:name="_Toc114134641"/>
      <w:bookmarkStart w:id="975" w:name="_Toc24944"/>
      <w:bookmarkStart w:id="976" w:name="_Toc25750624"/>
      <w:r>
        <w:rPr>
          <w:rFonts w:hint="eastAsia" w:ascii="宋体" w:hAnsi="宋体"/>
          <w:color w:val="000000" w:themeColor="text1"/>
          <w:sz w:val="21"/>
          <w:szCs w:val="21"/>
          <w:highlight w:val="none"/>
          <w14:textFill>
            <w14:solidFill>
              <w14:schemeClr w14:val="tx1"/>
            </w14:solidFill>
          </w14:textFill>
        </w:rPr>
        <w:t>不再</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r>
        <w:rPr>
          <w:rFonts w:hint="eastAsia" w:ascii="宋体" w:hAnsi="宋体"/>
          <w:color w:val="000000" w:themeColor="text1"/>
          <w:sz w:val="21"/>
          <w:szCs w:val="21"/>
          <w:highlight w:val="none"/>
          <w14:textFill>
            <w14:solidFill>
              <w14:schemeClr w14:val="tx1"/>
            </w14:solidFill>
          </w14:textFill>
        </w:rPr>
        <w:t>比选</w:t>
      </w:r>
      <w:bookmarkEnd w:id="973"/>
      <w:bookmarkEnd w:id="974"/>
      <w:bookmarkEnd w:id="975"/>
      <w:bookmarkEnd w:id="976"/>
    </w:p>
    <w:p>
      <w:pPr>
        <w:tabs>
          <w:tab w:val="left" w:pos="1155"/>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本</w:t>
      </w:r>
      <w:r>
        <w:rPr>
          <w:rFonts w:ascii="宋体" w:hAnsi="宋体"/>
          <w:color w:val="000000" w:themeColor="text1"/>
          <w:highlight w:val="none"/>
          <w14:textFill>
            <w14:solidFill>
              <w14:schemeClr w14:val="tx1"/>
            </w14:solidFill>
          </w14:textFill>
        </w:rPr>
        <w:t>项目</w:t>
      </w:r>
      <w:r>
        <w:rPr>
          <w:rFonts w:hint="eastAsia" w:ascii="宋体" w:hAnsi="宋体"/>
          <w:color w:val="000000" w:themeColor="text1"/>
          <w:highlight w:val="none"/>
          <w14:textFill>
            <w14:solidFill>
              <w14:schemeClr w14:val="tx1"/>
            </w14:solidFill>
          </w14:textFill>
        </w:rPr>
        <w:t>比选</w:t>
      </w:r>
      <w:r>
        <w:rPr>
          <w:rFonts w:ascii="宋体" w:hAnsi="宋体"/>
          <w:color w:val="000000" w:themeColor="text1"/>
          <w:highlight w:val="none"/>
          <w14:textFill>
            <w14:solidFill>
              <w14:schemeClr w14:val="tx1"/>
            </w14:solidFill>
          </w14:textFill>
        </w:rPr>
        <w:t>经两次发布信息后比选申请人仍少于三个或重新</w:t>
      </w:r>
      <w:r>
        <w:rPr>
          <w:rFonts w:hint="eastAsia" w:ascii="宋体" w:hAnsi="宋体"/>
          <w:color w:val="000000" w:themeColor="text1"/>
          <w:highlight w:val="none"/>
          <w14:textFill>
            <w14:solidFill>
              <w14:schemeClr w14:val="tx1"/>
            </w14:solidFill>
          </w14:textFill>
        </w:rPr>
        <w:t>比选</w:t>
      </w:r>
      <w:r>
        <w:rPr>
          <w:rFonts w:ascii="宋体" w:hAnsi="宋体"/>
          <w:color w:val="000000" w:themeColor="text1"/>
          <w:highlight w:val="none"/>
          <w14:textFill>
            <w14:solidFill>
              <w14:schemeClr w14:val="tx1"/>
            </w14:solidFill>
          </w14:textFill>
        </w:rPr>
        <w:t>后有效比选申请人仍少于三个或者所有比选申请被否决的，比选人可不再进行</w:t>
      </w:r>
      <w:r>
        <w:rPr>
          <w:rFonts w:hint="eastAsia" w:ascii="宋体" w:hAnsi="宋体"/>
          <w:color w:val="000000" w:themeColor="text1"/>
          <w:highlight w:val="none"/>
          <w14:textFill>
            <w14:solidFill>
              <w14:schemeClr w14:val="tx1"/>
            </w14:solidFill>
          </w14:textFill>
        </w:rPr>
        <w:t>比选</w:t>
      </w:r>
      <w:r>
        <w:rPr>
          <w:rFonts w:ascii="宋体" w:hAnsi="宋体"/>
          <w:color w:val="000000" w:themeColor="text1"/>
          <w:highlight w:val="none"/>
          <w14:textFill>
            <w14:solidFill>
              <w14:schemeClr w14:val="tx1"/>
            </w14:solidFill>
          </w14:textFill>
        </w:rPr>
        <w:t>。</w:t>
      </w:r>
    </w:p>
    <w:p>
      <w:pPr>
        <w:pStyle w:val="3"/>
        <w:spacing w:after="0" w:afterAutospacing="0" w:line="360" w:lineRule="auto"/>
        <w:ind w:left="0" w:right="0" w:firstLine="482" w:firstLineChars="200"/>
        <w:rPr>
          <w:rFonts w:ascii="宋体" w:hAnsi="宋体" w:eastAsia="宋体"/>
          <w:color w:val="000000" w:themeColor="text1"/>
          <w:sz w:val="24"/>
          <w:szCs w:val="24"/>
          <w:highlight w:val="none"/>
          <w14:textFill>
            <w14:solidFill>
              <w14:schemeClr w14:val="tx1"/>
            </w14:solidFill>
          </w14:textFill>
        </w:rPr>
      </w:pPr>
      <w:bookmarkStart w:id="977" w:name="_Toc27839"/>
      <w:bookmarkStart w:id="978" w:name="_Toc18800"/>
      <w:bookmarkStart w:id="979" w:name="_Toc2326"/>
      <w:bookmarkStart w:id="980" w:name="_Toc375039097"/>
      <w:bookmarkStart w:id="981" w:name="_Toc24580"/>
      <w:bookmarkStart w:id="982" w:name="_Toc8834"/>
      <w:bookmarkStart w:id="983" w:name="_Toc383891205"/>
      <w:bookmarkStart w:id="984" w:name="_Toc4743"/>
      <w:bookmarkStart w:id="985" w:name="_Toc12983540"/>
      <w:bookmarkStart w:id="986" w:name="_Toc385427830"/>
      <w:bookmarkStart w:id="987" w:name="_Toc12421"/>
      <w:bookmarkStart w:id="988" w:name="_Toc19952"/>
      <w:bookmarkStart w:id="989" w:name="_Toc390098456"/>
      <w:bookmarkStart w:id="990" w:name="_Toc22416"/>
      <w:bookmarkStart w:id="991" w:name="_Toc114134642"/>
      <w:bookmarkStart w:id="992" w:name="_Toc6000"/>
      <w:bookmarkStart w:id="993" w:name="_Toc9113"/>
      <w:bookmarkStart w:id="994" w:name="_Toc30278"/>
      <w:bookmarkStart w:id="995" w:name="_Toc26653"/>
      <w:bookmarkStart w:id="996" w:name="_Toc25431"/>
      <w:bookmarkStart w:id="997" w:name="_Toc31958"/>
      <w:bookmarkStart w:id="998" w:name="_Toc21516"/>
      <w:bookmarkStart w:id="999" w:name="_Toc22975"/>
      <w:bookmarkStart w:id="1000" w:name="_Toc24681"/>
      <w:bookmarkStart w:id="1001" w:name="_Toc8888"/>
      <w:bookmarkStart w:id="1002" w:name="_Toc492478755"/>
      <w:r>
        <w:rPr>
          <w:rFonts w:hint="eastAsia" w:ascii="宋体" w:hAnsi="宋体" w:eastAsia="宋体"/>
          <w:color w:val="000000" w:themeColor="text1"/>
          <w:sz w:val="24"/>
          <w:szCs w:val="24"/>
          <w:highlight w:val="none"/>
          <w14:textFill>
            <w14:solidFill>
              <w14:schemeClr w14:val="tx1"/>
            </w14:solidFill>
          </w14:textFill>
        </w:rPr>
        <w:t>六、</w:t>
      </w:r>
      <w:r>
        <w:rPr>
          <w:rFonts w:ascii="宋体" w:hAnsi="宋体" w:eastAsia="宋体"/>
          <w:color w:val="000000" w:themeColor="text1"/>
          <w:sz w:val="24"/>
          <w:szCs w:val="24"/>
          <w:highlight w:val="none"/>
          <w14:textFill>
            <w14:solidFill>
              <w14:schemeClr w14:val="tx1"/>
            </w14:solidFill>
          </w14:textFill>
        </w:rPr>
        <w:t>授予合同</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pPr>
        <w:pStyle w:val="4"/>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1003" w:name="_Toc30026"/>
      <w:bookmarkStart w:id="1004" w:name="_Toc22688"/>
      <w:bookmarkStart w:id="1005" w:name="_Toc20642"/>
      <w:bookmarkStart w:id="1006" w:name="_Toc25750626"/>
      <w:bookmarkStart w:id="1007" w:name="_Toc390098457"/>
      <w:bookmarkStart w:id="1008" w:name="_Toc17064"/>
      <w:bookmarkStart w:id="1009" w:name="_Toc383891206"/>
      <w:bookmarkStart w:id="1010" w:name="_Toc22323"/>
      <w:bookmarkStart w:id="1011" w:name="_Toc21728"/>
      <w:bookmarkStart w:id="1012" w:name="_Toc18878"/>
      <w:bookmarkStart w:id="1013" w:name="_Toc385427831"/>
      <w:bookmarkStart w:id="1014" w:name="_Toc13914"/>
      <w:bookmarkStart w:id="1015" w:name="_Toc21975"/>
      <w:bookmarkStart w:id="1016" w:name="_Toc9879"/>
      <w:bookmarkStart w:id="1017" w:name="_Toc26143"/>
      <w:bookmarkStart w:id="1018" w:name="_Toc12983541"/>
      <w:bookmarkStart w:id="1019" w:name="_Toc26525"/>
      <w:bookmarkStart w:id="1020" w:name="_Toc28661"/>
      <w:bookmarkStart w:id="1021" w:name="_Toc30743"/>
      <w:bookmarkStart w:id="1022" w:name="_Toc8938"/>
      <w:bookmarkStart w:id="1023" w:name="_Toc492478756"/>
      <w:bookmarkStart w:id="1024" w:name="_Toc31011"/>
      <w:bookmarkStart w:id="1025" w:name="_Toc10522"/>
      <w:bookmarkStart w:id="1026" w:name="_Toc114134643"/>
      <w:bookmarkStart w:id="1027" w:name="_Toc11795"/>
      <w:bookmarkStart w:id="1028" w:name="_Toc1269"/>
      <w:bookmarkStart w:id="1029" w:name="_Toc375039098"/>
      <w:r>
        <w:rPr>
          <w:rFonts w:hint="eastAsia" w:ascii="宋体" w:hAnsi="宋体"/>
          <w:color w:val="000000" w:themeColor="text1"/>
          <w:sz w:val="21"/>
          <w:szCs w:val="21"/>
          <w:highlight w:val="none"/>
          <w14:textFill>
            <w14:solidFill>
              <w14:schemeClr w14:val="tx1"/>
            </w14:solidFill>
          </w14:textFill>
        </w:rPr>
        <w:t>32. 合同授予标准</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32.1 </w:t>
      </w:r>
      <w:r>
        <w:rPr>
          <w:rFonts w:ascii="宋体" w:hAnsi="宋体"/>
          <w:color w:val="000000" w:themeColor="text1"/>
          <w:highlight w:val="none"/>
          <w14:textFill>
            <w14:solidFill>
              <w14:schemeClr w14:val="tx1"/>
            </w14:solidFill>
          </w14:textFill>
        </w:rPr>
        <w:t>根据本须知规定，比选人将把合同授予收到中选通知书，并提供了履约担保的比选申请人，该比选申请人必须具有有效实施本合同的能力和资源。</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32.2 </w:t>
      </w:r>
      <w:r>
        <w:rPr>
          <w:rFonts w:ascii="宋体" w:hAnsi="宋体"/>
          <w:color w:val="000000" w:themeColor="text1"/>
          <w:highlight w:val="none"/>
          <w14:textFill>
            <w14:solidFill>
              <w14:schemeClr w14:val="tx1"/>
            </w14:solidFill>
          </w14:textFill>
        </w:rPr>
        <w:t>如果</w:t>
      </w:r>
      <w:r>
        <w:rPr>
          <w:rFonts w:hint="eastAsia" w:ascii="宋体" w:hAnsi="宋体"/>
          <w:color w:val="000000" w:themeColor="text1"/>
          <w:highlight w:val="none"/>
          <w14:textFill>
            <w14:solidFill>
              <w14:schemeClr w14:val="tx1"/>
            </w14:solidFill>
          </w14:textFill>
        </w:rPr>
        <w:t>中选候选人放弃中选候选人资格或</w:t>
      </w:r>
      <w:r>
        <w:rPr>
          <w:rFonts w:ascii="宋体" w:hAnsi="宋体"/>
          <w:color w:val="000000" w:themeColor="text1"/>
          <w:highlight w:val="none"/>
          <w14:textFill>
            <w14:solidFill>
              <w14:schemeClr w14:val="tx1"/>
            </w14:solidFill>
          </w14:textFill>
        </w:rPr>
        <w:t>已中选的比选申请人不能按比选申请文件中承诺的条件履行签约行为，比选人有权按有关法律法规规定，在评审委员会推荐的、合格的比选申请人名单中按照排名先后顺序选择新的合同授予人。</w:t>
      </w:r>
    </w:p>
    <w:p>
      <w:pPr>
        <w:pStyle w:val="4"/>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1030" w:name="_Toc1873"/>
      <w:bookmarkStart w:id="1031" w:name="_Toc11913"/>
      <w:bookmarkStart w:id="1032" w:name="_Toc18977"/>
      <w:bookmarkStart w:id="1033" w:name="_Toc12983542"/>
      <w:bookmarkStart w:id="1034" w:name="_Toc13417"/>
      <w:bookmarkStart w:id="1035" w:name="_Toc23649"/>
      <w:bookmarkStart w:id="1036" w:name="_Toc25750627"/>
      <w:bookmarkStart w:id="1037" w:name="_Toc19128"/>
      <w:bookmarkStart w:id="1038" w:name="_Toc492478757"/>
      <w:bookmarkStart w:id="1039" w:name="_Toc16111"/>
      <w:bookmarkStart w:id="1040" w:name="_Toc17818"/>
      <w:bookmarkStart w:id="1041" w:name="_Toc390098458"/>
      <w:bookmarkStart w:id="1042" w:name="_Toc31336"/>
      <w:bookmarkStart w:id="1043" w:name="_Toc385427832"/>
      <w:bookmarkStart w:id="1044" w:name="_Toc24183"/>
      <w:bookmarkStart w:id="1045" w:name="_Toc383891207"/>
      <w:bookmarkStart w:id="1046" w:name="_Toc14325"/>
      <w:bookmarkStart w:id="1047" w:name="_Toc17153"/>
      <w:bookmarkStart w:id="1048" w:name="_Toc14832"/>
      <w:bookmarkStart w:id="1049" w:name="_Toc25797"/>
      <w:bookmarkStart w:id="1050" w:name="_Toc19774"/>
      <w:bookmarkStart w:id="1051" w:name="_Toc26509"/>
      <w:bookmarkStart w:id="1052" w:name="_Toc14301"/>
      <w:bookmarkStart w:id="1053" w:name="_Toc377"/>
      <w:bookmarkStart w:id="1054" w:name="_Toc7723"/>
      <w:bookmarkStart w:id="1055" w:name="_Toc375039099"/>
      <w:bookmarkStart w:id="1056" w:name="_Toc114134644"/>
      <w:r>
        <w:rPr>
          <w:rFonts w:hint="eastAsia" w:ascii="宋体" w:hAnsi="宋体"/>
          <w:color w:val="000000" w:themeColor="text1"/>
          <w:sz w:val="21"/>
          <w:szCs w:val="21"/>
          <w:highlight w:val="none"/>
          <w14:textFill>
            <w14:solidFill>
              <w14:schemeClr w14:val="tx1"/>
            </w14:solidFill>
          </w14:textFill>
        </w:rPr>
        <w:t>33. 接受和否决任何或所有比选申请的权力</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人保留在授标之前任何时候依法决定否决所有或任何比选申请，以及宣布所有或任何比选申请文件无效的权力，对受影响的比选申请人不承担任何责任，也无义务向受影响的比选申请人解释采取这一行动的理由。</w:t>
      </w:r>
    </w:p>
    <w:p>
      <w:pPr>
        <w:pStyle w:val="4"/>
        <w:numPr>
          <w:ilvl w:val="0"/>
          <w:numId w:val="6"/>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1057" w:name="_Toc673"/>
      <w:bookmarkStart w:id="1058" w:name="_Toc12065"/>
      <w:bookmarkStart w:id="1059" w:name="_Toc25750628"/>
      <w:bookmarkStart w:id="1060" w:name="_Toc21798"/>
      <w:bookmarkStart w:id="1061" w:name="_Toc492478758"/>
      <w:bookmarkStart w:id="1062" w:name="_Toc13596"/>
      <w:bookmarkStart w:id="1063" w:name="_Toc385427833"/>
      <w:bookmarkStart w:id="1064" w:name="_Toc921"/>
      <w:bookmarkStart w:id="1065" w:name="_Toc22657"/>
      <w:bookmarkStart w:id="1066" w:name="_Toc13605"/>
      <w:bookmarkStart w:id="1067" w:name="_Toc26012"/>
      <w:bookmarkStart w:id="1068" w:name="_Toc12983543"/>
      <w:bookmarkStart w:id="1069" w:name="_Toc2061"/>
      <w:bookmarkStart w:id="1070" w:name="_Toc383891208"/>
      <w:bookmarkStart w:id="1071" w:name="_Toc10348"/>
      <w:bookmarkStart w:id="1072" w:name="_Toc17953"/>
      <w:bookmarkStart w:id="1073" w:name="_Toc32424"/>
      <w:bookmarkStart w:id="1074" w:name="_Toc375039100"/>
      <w:bookmarkStart w:id="1075" w:name="_Toc19943"/>
      <w:bookmarkStart w:id="1076" w:name="_Toc5061"/>
      <w:bookmarkStart w:id="1077" w:name="_Toc390098459"/>
      <w:bookmarkStart w:id="1078" w:name="_Toc20680"/>
      <w:bookmarkStart w:id="1079" w:name="_Toc114134645"/>
      <w:bookmarkStart w:id="1080" w:name="_Toc27683"/>
      <w:bookmarkStart w:id="1081" w:name="_Toc9636"/>
      <w:bookmarkStart w:id="1082" w:name="_Toc19556"/>
      <w:bookmarkStart w:id="1083" w:name="_Toc29754"/>
      <w:r>
        <w:rPr>
          <w:rFonts w:hint="eastAsia" w:ascii="宋体" w:hAnsi="宋体"/>
          <w:color w:val="000000" w:themeColor="text1"/>
          <w:sz w:val="21"/>
          <w:szCs w:val="21"/>
          <w:highlight w:val="none"/>
          <w14:textFill>
            <w14:solidFill>
              <w14:schemeClr w14:val="tx1"/>
            </w14:solidFill>
          </w14:textFill>
        </w:rPr>
        <w:t>中选通知书</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pPr>
        <w:tabs>
          <w:tab w:val="left" w:pos="450"/>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34.1 </w:t>
      </w:r>
      <w:r>
        <w:rPr>
          <w:rFonts w:ascii="宋体" w:hAnsi="宋体"/>
          <w:color w:val="000000" w:themeColor="text1"/>
          <w:highlight w:val="none"/>
          <w14:textFill>
            <w14:solidFill>
              <w14:schemeClr w14:val="tx1"/>
            </w14:solidFill>
          </w14:textFill>
        </w:rPr>
        <w:t>在比选申请有效期截止前，</w:t>
      </w:r>
      <w:r>
        <w:rPr>
          <w:rFonts w:hint="eastAsia" w:ascii="宋体" w:hAnsi="宋体"/>
          <w:color w:val="000000" w:themeColor="text1"/>
          <w:highlight w:val="none"/>
          <w14:textFill>
            <w14:solidFill>
              <w14:schemeClr w14:val="tx1"/>
            </w14:solidFill>
          </w14:textFill>
        </w:rPr>
        <w:t>在本须知第</w:t>
      </w:r>
      <w:r>
        <w:rPr>
          <w:rFonts w:ascii="宋体" w:hAnsi="宋体"/>
          <w:color w:val="000000" w:themeColor="text1"/>
          <w:highlight w:val="none"/>
          <w14:textFill>
            <w14:solidFill>
              <w14:schemeClr w14:val="tx1"/>
            </w14:solidFill>
          </w14:textFill>
        </w:rPr>
        <w:t>15条</w:t>
      </w:r>
      <w:r>
        <w:rPr>
          <w:rFonts w:hint="eastAsia" w:ascii="宋体" w:hAnsi="宋体"/>
          <w:color w:val="000000" w:themeColor="text1"/>
          <w:highlight w:val="none"/>
          <w14:textFill>
            <w14:solidFill>
              <w14:schemeClr w14:val="tx1"/>
            </w14:solidFill>
          </w14:textFill>
        </w:rPr>
        <w:t>规定的比选申请有效期内，比选人以书面形式向中选人发出中选通知书。</w:t>
      </w:r>
    </w:p>
    <w:p>
      <w:pPr>
        <w:tabs>
          <w:tab w:val="left" w:pos="450"/>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34.2 </w:t>
      </w:r>
      <w:r>
        <w:rPr>
          <w:rFonts w:ascii="宋体" w:hAnsi="宋体"/>
          <w:color w:val="000000" w:themeColor="text1"/>
          <w:highlight w:val="none"/>
          <w14:textFill>
            <w14:solidFill>
              <w14:schemeClr w14:val="tx1"/>
            </w14:solidFill>
          </w14:textFill>
        </w:rPr>
        <w:t>中选通知书将作为签订合同的依据，并是合同的一个组成部分。</w:t>
      </w:r>
    </w:p>
    <w:p>
      <w:pPr>
        <w:tabs>
          <w:tab w:val="left" w:pos="450"/>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34.3 </w:t>
      </w:r>
      <w:r>
        <w:rPr>
          <w:rFonts w:ascii="宋体" w:hAnsi="宋体"/>
          <w:color w:val="000000" w:themeColor="text1"/>
          <w:highlight w:val="none"/>
          <w14:textFill>
            <w14:solidFill>
              <w14:schemeClr w14:val="tx1"/>
            </w14:solidFill>
          </w14:textFill>
        </w:rPr>
        <w:t>对未中选者，比选人不对未中选原因做出解释，同时亦不退还比选申请文件。</w:t>
      </w:r>
    </w:p>
    <w:p>
      <w:pPr>
        <w:tabs>
          <w:tab w:val="left" w:pos="450"/>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34.4放弃中选人资格的处罚详见前附表。</w:t>
      </w:r>
    </w:p>
    <w:p>
      <w:pPr>
        <w:pStyle w:val="4"/>
        <w:numPr>
          <w:ilvl w:val="0"/>
          <w:numId w:val="6"/>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1084" w:name="_Toc12983544"/>
      <w:bookmarkStart w:id="1085" w:name="_Toc114134646"/>
      <w:bookmarkStart w:id="1086" w:name="_Toc375039101"/>
      <w:bookmarkStart w:id="1087" w:name="_Toc5617"/>
      <w:bookmarkStart w:id="1088" w:name="_Toc18694"/>
      <w:bookmarkStart w:id="1089" w:name="_Toc390098460"/>
      <w:bookmarkStart w:id="1090" w:name="_Toc1862"/>
      <w:bookmarkStart w:id="1091" w:name="_Toc25750629"/>
      <w:bookmarkStart w:id="1092" w:name="_Toc8628"/>
      <w:bookmarkStart w:id="1093" w:name="_Toc7565"/>
      <w:bookmarkStart w:id="1094" w:name="_Toc4723"/>
      <w:bookmarkStart w:id="1095" w:name="_Toc15048"/>
      <w:bookmarkStart w:id="1096" w:name="_Toc383891209"/>
      <w:bookmarkStart w:id="1097" w:name="_Toc22442"/>
      <w:bookmarkStart w:id="1098" w:name="_Toc4190"/>
      <w:bookmarkStart w:id="1099" w:name="_Toc492478759"/>
      <w:bookmarkStart w:id="1100" w:name="_Toc21570"/>
      <w:bookmarkStart w:id="1101" w:name="_Toc28815"/>
      <w:bookmarkStart w:id="1102" w:name="_Toc25208"/>
      <w:bookmarkStart w:id="1103" w:name="_Toc29993"/>
      <w:bookmarkStart w:id="1104" w:name="_Toc1780"/>
      <w:bookmarkStart w:id="1105" w:name="_Toc5767"/>
      <w:bookmarkStart w:id="1106" w:name="_Toc21217"/>
      <w:bookmarkStart w:id="1107" w:name="_Toc24240"/>
      <w:bookmarkStart w:id="1108" w:name="_Toc385427834"/>
      <w:bookmarkStart w:id="1109" w:name="_Toc30862"/>
      <w:bookmarkStart w:id="1110" w:name="_Toc24885"/>
      <w:r>
        <w:rPr>
          <w:rFonts w:hint="eastAsia" w:ascii="宋体" w:hAnsi="宋体"/>
          <w:color w:val="000000" w:themeColor="text1"/>
          <w:sz w:val="21"/>
          <w:szCs w:val="21"/>
          <w:highlight w:val="none"/>
          <w14:textFill>
            <w14:solidFill>
              <w14:schemeClr w14:val="tx1"/>
            </w14:solidFill>
          </w14:textFill>
        </w:rPr>
        <w:t>签订合同</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35.1 中选人在收到中选通知书后3</w:t>
      </w:r>
      <w:r>
        <w:rPr>
          <w:rFonts w:ascii="宋体" w:hAnsi="宋体"/>
          <w:color w:val="000000" w:themeColor="text1"/>
          <w:highlight w:val="none"/>
          <w14:textFill>
            <w14:solidFill>
              <w14:schemeClr w14:val="tx1"/>
            </w14:solidFill>
          </w14:textFill>
        </w:rPr>
        <w:t>0</w:t>
      </w:r>
      <w:r>
        <w:rPr>
          <w:rFonts w:hint="eastAsia" w:ascii="宋体" w:hAnsi="宋体"/>
          <w:color w:val="000000" w:themeColor="text1"/>
          <w:highlight w:val="none"/>
          <w14:textFill>
            <w14:solidFill>
              <w14:schemeClr w14:val="tx1"/>
            </w14:solidFill>
          </w14:textFill>
        </w:rPr>
        <w:t>日内，按比选文件的要求与比选人签订合同</w:t>
      </w:r>
      <w:r>
        <w:rPr>
          <w:rFonts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如中选人未在上述期限内与比选人签订合同的，比选人将取消其中选。</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35.2 </w:t>
      </w:r>
      <w:r>
        <w:rPr>
          <w:rFonts w:ascii="宋体" w:hAnsi="宋体"/>
          <w:color w:val="000000" w:themeColor="text1"/>
          <w:highlight w:val="none"/>
          <w14:textFill>
            <w14:solidFill>
              <w14:schemeClr w14:val="tx1"/>
            </w14:solidFill>
          </w14:textFill>
        </w:rPr>
        <w:t>比选文件、中选通知书、中选人的比选申请文件及双方确认的澄清文件等，均为有法律约束力的合同的组成部分。</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35.3 </w:t>
      </w:r>
      <w:r>
        <w:rPr>
          <w:rFonts w:ascii="宋体" w:hAnsi="宋体"/>
          <w:color w:val="000000" w:themeColor="text1"/>
          <w:highlight w:val="none"/>
          <w14:textFill>
            <w14:solidFill>
              <w14:schemeClr w14:val="tx1"/>
            </w14:solidFill>
          </w14:textFill>
        </w:rPr>
        <w:t>如果中选人没有按照上述第35.1条规定执行，比选人将有充分理由取消该中选决定。在此情况下，比选人可以按照评审委员会提出的中选候选人名单排序依次确定其他中选候选人为中选人，也可以重新</w:t>
      </w:r>
      <w:r>
        <w:rPr>
          <w:rFonts w:hint="eastAsia" w:ascii="宋体" w:hAnsi="宋体"/>
          <w:color w:val="000000" w:themeColor="text1"/>
          <w:highlight w:val="none"/>
          <w14:textFill>
            <w14:solidFill>
              <w14:schemeClr w14:val="tx1"/>
            </w14:solidFill>
          </w14:textFill>
        </w:rPr>
        <w:t>比选</w:t>
      </w:r>
      <w:r>
        <w:rPr>
          <w:rFonts w:ascii="宋体" w:hAnsi="宋体"/>
          <w:color w:val="000000" w:themeColor="text1"/>
          <w:highlight w:val="none"/>
          <w14:textFill>
            <w14:solidFill>
              <w14:schemeClr w14:val="tx1"/>
            </w14:solidFill>
          </w14:textFill>
        </w:rPr>
        <w:t>。</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35.4 </w:t>
      </w:r>
      <w:r>
        <w:rPr>
          <w:rFonts w:ascii="宋体" w:hAnsi="宋体"/>
          <w:color w:val="000000" w:themeColor="text1"/>
          <w:highlight w:val="none"/>
          <w14:textFill>
            <w14:solidFill>
              <w14:schemeClr w14:val="tx1"/>
            </w14:solidFill>
          </w14:textFill>
        </w:rPr>
        <w:t>中选人若未在比选申请文件“商务响应表”及“技术响应表”中列出负偏离说明，即使其在比选申请文件的其他部分说明与比选文件要求有所不同或回避不答，甚至在评审时对该项目已作了偏离扣分处理，在比选人与中选人签订合同期间，亦均视为完全符合比选文件中所要求的最佳值并写入合同。若中选人在定标后及合同签订前，以上述事项为借口而不履行合同签订手续及执行合同，则视作放弃中选资格。</w:t>
      </w:r>
    </w:p>
    <w:p>
      <w:pPr>
        <w:pStyle w:val="4"/>
        <w:numPr>
          <w:ilvl w:val="0"/>
          <w:numId w:val="6"/>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1111" w:name="_Toc16371"/>
      <w:bookmarkStart w:id="1112" w:name="_Toc25483"/>
      <w:bookmarkStart w:id="1113" w:name="_Toc16589"/>
      <w:bookmarkStart w:id="1114" w:name="_Toc4665"/>
      <w:bookmarkStart w:id="1115" w:name="_Toc390098461"/>
      <w:bookmarkStart w:id="1116" w:name="_Toc11079"/>
      <w:bookmarkStart w:id="1117" w:name="_Toc9433"/>
      <w:bookmarkStart w:id="1118" w:name="_Toc24750"/>
      <w:bookmarkStart w:id="1119" w:name="_Toc385427835"/>
      <w:bookmarkStart w:id="1120" w:name="_Toc23817"/>
      <w:bookmarkStart w:id="1121" w:name="_Toc5576"/>
      <w:bookmarkStart w:id="1122" w:name="_Toc492478760"/>
      <w:bookmarkStart w:id="1123" w:name="_Toc12983545"/>
      <w:bookmarkStart w:id="1124" w:name="_Toc6599"/>
      <w:bookmarkStart w:id="1125" w:name="_Toc9981"/>
      <w:bookmarkStart w:id="1126" w:name="_Toc383891210"/>
      <w:bookmarkStart w:id="1127" w:name="_Toc13919"/>
      <w:bookmarkStart w:id="1128" w:name="_Toc20178"/>
      <w:bookmarkStart w:id="1129" w:name="_Toc25750630"/>
      <w:bookmarkStart w:id="1130" w:name="_Toc17281"/>
      <w:bookmarkStart w:id="1131" w:name="_Toc31814"/>
      <w:bookmarkStart w:id="1132" w:name="_Toc29857"/>
      <w:bookmarkStart w:id="1133" w:name="_Toc25632"/>
      <w:bookmarkStart w:id="1134" w:name="_Toc8104"/>
      <w:bookmarkStart w:id="1135" w:name="_Toc11412"/>
      <w:bookmarkStart w:id="1136" w:name="_Toc375039102"/>
      <w:bookmarkStart w:id="1137" w:name="_Toc114134647"/>
      <w:r>
        <w:rPr>
          <w:rFonts w:hint="eastAsia" w:ascii="宋体" w:hAnsi="宋体"/>
          <w:color w:val="000000" w:themeColor="text1"/>
          <w:sz w:val="21"/>
          <w:szCs w:val="21"/>
          <w:highlight w:val="none"/>
          <w14:textFill>
            <w14:solidFill>
              <w14:schemeClr w14:val="tx1"/>
            </w14:solidFill>
          </w14:textFill>
        </w:rPr>
        <w:t>履约担保</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36.1 </w:t>
      </w:r>
      <w:r>
        <w:rPr>
          <w:rFonts w:ascii="宋体" w:hAnsi="宋体"/>
          <w:color w:val="000000" w:themeColor="text1"/>
          <w:highlight w:val="none"/>
          <w14:textFill>
            <w14:solidFill>
              <w14:schemeClr w14:val="tx1"/>
            </w14:solidFill>
          </w14:textFill>
        </w:rPr>
        <w:t>在签订合同前，</w:t>
      </w:r>
      <w:r>
        <w:rPr>
          <w:rFonts w:hint="eastAsia" w:ascii="宋体" w:hAnsi="宋体"/>
          <w:color w:val="000000" w:themeColor="text1"/>
          <w:highlight w:val="none"/>
          <w14:textFill>
            <w14:solidFill>
              <w14:schemeClr w14:val="tx1"/>
            </w14:solidFill>
          </w14:textFill>
        </w:rPr>
        <w:t>中选人应按</w:t>
      </w:r>
      <w:r>
        <w:rPr>
          <w:rFonts w:ascii="宋体" w:hAnsi="宋体"/>
          <w:color w:val="000000" w:themeColor="text1"/>
          <w:highlight w:val="none"/>
          <w14:textFill>
            <w14:solidFill>
              <w14:schemeClr w14:val="tx1"/>
            </w14:solidFill>
          </w14:textFill>
        </w:rPr>
        <w:t>比选申请须知前附表中所示履约担保形式、金额及提交时间向比选人提交履约担保。（如为银行保函形式应按比选文件中提供的银行保函格式开具</w:t>
      </w:r>
      <w:r>
        <w:rPr>
          <w:rFonts w:hint="eastAsia" w:ascii="宋体" w:hAnsi="宋体"/>
          <w:color w:val="000000" w:themeColor="text1"/>
          <w:highlight w:val="none"/>
          <w14:textFill>
            <w14:solidFill>
              <w14:schemeClr w14:val="tx1"/>
            </w14:solidFill>
          </w14:textFill>
        </w:rPr>
        <w:t>）</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36.2 </w:t>
      </w:r>
      <w:r>
        <w:rPr>
          <w:rFonts w:ascii="宋体" w:hAnsi="宋体"/>
          <w:color w:val="000000" w:themeColor="text1"/>
          <w:highlight w:val="none"/>
          <w14:textFill>
            <w14:solidFill>
              <w14:schemeClr w14:val="tx1"/>
            </w14:solidFill>
          </w14:textFill>
        </w:rPr>
        <w:t>如果中选人没有按照上述第35或</w:t>
      </w:r>
      <w:r>
        <w:rPr>
          <w:rFonts w:hint="eastAsia" w:ascii="宋体" w:hAnsi="宋体"/>
          <w:color w:val="000000" w:themeColor="text1"/>
          <w:highlight w:val="none"/>
          <w14:textFill>
            <w14:solidFill>
              <w14:schemeClr w14:val="tx1"/>
            </w14:solidFill>
          </w14:textFill>
        </w:rPr>
        <w:t>第</w:t>
      </w:r>
      <w:r>
        <w:rPr>
          <w:rFonts w:ascii="宋体" w:hAnsi="宋体"/>
          <w:color w:val="000000" w:themeColor="text1"/>
          <w:highlight w:val="none"/>
          <w14:textFill>
            <w14:solidFill>
              <w14:schemeClr w14:val="tx1"/>
            </w14:solidFill>
          </w14:textFill>
        </w:rPr>
        <w:t>36.1条以及本比选文件中有关章节中规定执行，比选人将有充分理由取消该中选决定。在此情况下，比选人可将合同授予排名第二的比选申请人，或重新</w:t>
      </w:r>
      <w:r>
        <w:rPr>
          <w:rFonts w:hint="eastAsia" w:ascii="宋体" w:hAnsi="宋体"/>
          <w:color w:val="000000" w:themeColor="text1"/>
          <w:highlight w:val="none"/>
          <w14:textFill>
            <w14:solidFill>
              <w14:schemeClr w14:val="tx1"/>
            </w14:solidFill>
          </w14:textFill>
        </w:rPr>
        <w:t>比选</w:t>
      </w:r>
      <w:r>
        <w:rPr>
          <w:rFonts w:ascii="宋体" w:hAnsi="宋体"/>
          <w:color w:val="000000" w:themeColor="text1"/>
          <w:highlight w:val="none"/>
          <w14:textFill>
            <w14:solidFill>
              <w14:schemeClr w14:val="tx1"/>
            </w14:solidFill>
          </w14:textFill>
        </w:rPr>
        <w:t>。</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36.3 履约担保应从生效之日起至</w:t>
      </w:r>
      <w:r>
        <w:rPr>
          <w:rFonts w:hint="eastAsia" w:ascii="宋体" w:hAnsi="宋体"/>
          <w:color w:val="000000" w:themeColor="text1"/>
          <w:highlight w:val="none"/>
          <w14:textFill>
            <w14:solidFill>
              <w14:schemeClr w14:val="tx1"/>
            </w14:solidFill>
          </w14:textFill>
        </w:rPr>
        <w:t>全部项目内容验收合格</w:t>
      </w:r>
      <w:r>
        <w:rPr>
          <w:rFonts w:ascii="宋体" w:hAnsi="宋体"/>
          <w:color w:val="000000" w:themeColor="text1"/>
          <w:highlight w:val="none"/>
          <w14:textFill>
            <w14:solidFill>
              <w14:schemeClr w14:val="tx1"/>
            </w14:solidFill>
          </w14:textFill>
        </w:rPr>
        <w:t>之日有效</w:t>
      </w:r>
      <w:r>
        <w:rPr>
          <w:rFonts w:hint="eastAsia" w:ascii="宋体" w:hAnsi="宋体"/>
          <w:color w:val="000000" w:themeColor="text1"/>
          <w:highlight w:val="none"/>
          <w14:textFill>
            <w14:solidFill>
              <w14:schemeClr w14:val="tx1"/>
            </w14:solidFill>
          </w14:textFill>
        </w:rPr>
        <w:t>（最终验收证书签署之日后四十五（</w:t>
      </w:r>
      <w:r>
        <w:rPr>
          <w:rFonts w:ascii="宋体" w:hAnsi="宋体"/>
          <w:color w:val="000000" w:themeColor="text1"/>
          <w:highlight w:val="none"/>
          <w14:textFill>
            <w14:solidFill>
              <w14:schemeClr w14:val="tx1"/>
            </w14:solidFill>
          </w14:textFill>
        </w:rPr>
        <w:t>45</w:t>
      </w:r>
      <w:r>
        <w:rPr>
          <w:rFonts w:hint="eastAsia" w:ascii="宋体" w:hAnsi="宋体"/>
          <w:color w:val="000000" w:themeColor="text1"/>
          <w:highlight w:val="none"/>
          <w14:textFill>
            <w14:solidFill>
              <w14:schemeClr w14:val="tx1"/>
            </w14:solidFill>
          </w14:textFill>
        </w:rPr>
        <w:t>）天一直有效）</w:t>
      </w:r>
      <w:r>
        <w:rPr>
          <w:rFonts w:ascii="宋体" w:hAnsi="宋体"/>
          <w:color w:val="000000" w:themeColor="text1"/>
          <w:highlight w:val="none"/>
          <w14:textFill>
            <w14:solidFill>
              <w14:schemeClr w14:val="tx1"/>
            </w14:solidFill>
          </w14:textFill>
        </w:rPr>
        <w:t>。如本项目实际</w:t>
      </w:r>
      <w:r>
        <w:rPr>
          <w:rFonts w:hint="eastAsia" w:ascii="宋体" w:hAnsi="宋体"/>
          <w:color w:val="000000" w:themeColor="text1"/>
          <w:highlight w:val="none"/>
          <w14:textFill>
            <w14:solidFill>
              <w14:schemeClr w14:val="tx1"/>
            </w14:solidFill>
          </w14:textFill>
        </w:rPr>
        <w:t>全部项目内容验收合格</w:t>
      </w:r>
      <w:r>
        <w:rPr>
          <w:rFonts w:ascii="宋体" w:hAnsi="宋体"/>
          <w:color w:val="000000" w:themeColor="text1"/>
          <w:highlight w:val="none"/>
          <w14:textFill>
            <w14:solidFill>
              <w14:schemeClr w14:val="tx1"/>
            </w14:solidFill>
          </w14:textFill>
        </w:rPr>
        <w:t>日期超出该履约担保写明的日期，则中选人应相应延长履约担保的日期，当出现逾期验收而未及时办理保函续费手续时（如为保函形式），比选人有权暂停剩余费用的支付。</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36.4 </w:t>
      </w:r>
      <w:r>
        <w:rPr>
          <w:rFonts w:ascii="宋体" w:hAnsi="宋体"/>
          <w:color w:val="000000" w:themeColor="text1"/>
          <w:highlight w:val="none"/>
          <w14:textFill>
            <w14:solidFill>
              <w14:schemeClr w14:val="tx1"/>
            </w14:solidFill>
          </w14:textFill>
        </w:rPr>
        <w:t>履约担保在本合同结束后，根据履约期间比选人的索赔情况，将剩余履约担保款项无息退还中选人。</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36.5 </w:t>
      </w:r>
      <w:r>
        <w:rPr>
          <w:rFonts w:ascii="宋体" w:hAnsi="宋体"/>
          <w:color w:val="000000" w:themeColor="text1"/>
          <w:highlight w:val="none"/>
          <w14:textFill>
            <w14:solidFill>
              <w14:schemeClr w14:val="tx1"/>
            </w14:solidFill>
          </w14:textFill>
        </w:rPr>
        <w:t>在合同执行过程中，履约担保金额应保持足额有效，不足时应当按照比选人的要求及时补足担保金额。</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36.6 </w:t>
      </w:r>
      <w:r>
        <w:rPr>
          <w:rFonts w:ascii="宋体" w:hAnsi="宋体"/>
          <w:color w:val="000000" w:themeColor="text1"/>
          <w:highlight w:val="none"/>
          <w14:textFill>
            <w14:solidFill>
              <w14:schemeClr w14:val="tx1"/>
            </w14:solidFill>
          </w14:textFill>
        </w:rPr>
        <w:t>以履约保证金形式提交履约担保的，中选人应通过银行电汇或转账的形式，从基本账户中递交至比选人</w:t>
      </w:r>
      <w:r>
        <w:rPr>
          <w:rFonts w:hint="eastAsia" w:ascii="宋体" w:hAnsi="宋体"/>
          <w:color w:val="000000" w:themeColor="text1"/>
          <w:highlight w:val="none"/>
          <w14:textFill>
            <w14:solidFill>
              <w14:schemeClr w14:val="tx1"/>
            </w14:solidFill>
          </w14:textFill>
        </w:rPr>
        <w:t>指定账户</w:t>
      </w:r>
      <w:r>
        <w:rPr>
          <w:rFonts w:ascii="宋体" w:hAnsi="宋体"/>
          <w:color w:val="000000" w:themeColor="text1"/>
          <w:highlight w:val="none"/>
          <w14:textFill>
            <w14:solidFill>
              <w14:schemeClr w14:val="tx1"/>
            </w14:solidFill>
          </w14:textFill>
        </w:rPr>
        <w:t>。</w:t>
      </w:r>
    </w:p>
    <w:p>
      <w:pPr>
        <w:tabs>
          <w:tab w:val="left" w:pos="1134"/>
          <w:tab w:val="left" w:pos="8364"/>
        </w:tabs>
        <w:spacing w:before="0" w:after="0" w:afterAutospacing="0"/>
        <w:ind w:left="0" w:right="0" w:firstLine="422" w:firstLineChars="200"/>
        <w:rPr>
          <w:rFonts w:ascii="宋体" w:hAnsi="宋体"/>
          <w:b/>
          <w:bCs/>
          <w:color w:val="000000" w:themeColor="text1"/>
          <w:highlight w:val="none"/>
          <w14:textFill>
            <w14:solidFill>
              <w14:schemeClr w14:val="tx1"/>
            </w14:solidFill>
          </w14:textFill>
        </w:rPr>
      </w:pPr>
      <w:r>
        <w:rPr>
          <w:rFonts w:hint="eastAsia" w:ascii="宋体" w:hAnsi="宋体"/>
          <w:b/>
          <w:bCs/>
          <w:color w:val="000000" w:themeColor="text1"/>
          <w:highlight w:val="none"/>
          <w14:textFill>
            <w14:solidFill>
              <w14:schemeClr w14:val="tx1"/>
            </w14:solidFill>
          </w14:textFill>
        </w:rPr>
        <w:t xml:space="preserve">37 </w:t>
      </w:r>
      <w:r>
        <w:rPr>
          <w:rFonts w:ascii="宋体" w:hAnsi="宋体"/>
          <w:b/>
          <w:bCs/>
          <w:color w:val="000000" w:themeColor="text1"/>
          <w:highlight w:val="none"/>
          <w14:textFill>
            <w14:solidFill>
              <w14:schemeClr w14:val="tx1"/>
            </w14:solidFill>
          </w14:textFill>
        </w:rPr>
        <w:t>知识产权和专利权</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37.1 </w:t>
      </w:r>
      <w:r>
        <w:rPr>
          <w:rFonts w:ascii="宋体" w:hAnsi="宋体"/>
          <w:color w:val="000000" w:themeColor="text1"/>
          <w:highlight w:val="none"/>
          <w14:textFill>
            <w14:solidFill>
              <w14:schemeClr w14:val="tx1"/>
            </w14:solidFill>
          </w14:textFill>
        </w:rPr>
        <w:t>比选申请人应保证其拥有货物及服务的知识产权，并保证比选人在中华人民共和国使用货物及服务或其任何一部分时，免受第三方提出侵犯其任何专利权、著作权、注册商标专有使用权或计算机软件登记或反不正当竞争的起诉及索赔。</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37.2 </w:t>
      </w:r>
      <w:r>
        <w:rPr>
          <w:rFonts w:ascii="宋体" w:hAnsi="宋体"/>
          <w:color w:val="000000" w:themeColor="text1"/>
          <w:highlight w:val="none"/>
          <w14:textFill>
            <w14:solidFill>
              <w14:schemeClr w14:val="tx1"/>
            </w14:solidFill>
          </w14:textFill>
        </w:rPr>
        <w:t>比选申请报价已包括所有应支付的，对专利权、著作权、注册商标专有使用权、计算机软件登记或其他知识产权而需要向其他方支付各项等费用。</w:t>
      </w:r>
    </w:p>
    <w:p>
      <w:pPr>
        <w:tabs>
          <w:tab w:val="left" w:pos="425"/>
          <w:tab w:val="left" w:pos="1134"/>
          <w:tab w:val="left" w:pos="8364"/>
        </w:tabs>
        <w:spacing w:before="0" w:after="0" w:afterAutospacing="0"/>
        <w:ind w:left="0" w:right="0" w:firstLine="422" w:firstLineChars="200"/>
        <w:rPr>
          <w:rFonts w:ascii="宋体" w:hAnsi="宋体"/>
          <w:b/>
          <w:bCs/>
          <w:color w:val="000000" w:themeColor="text1"/>
          <w:highlight w:val="none"/>
          <w14:textFill>
            <w14:solidFill>
              <w14:schemeClr w14:val="tx1"/>
            </w14:solidFill>
          </w14:textFill>
        </w:rPr>
      </w:pPr>
      <w:r>
        <w:rPr>
          <w:rFonts w:hint="eastAsia" w:ascii="宋体" w:hAnsi="宋体"/>
          <w:b/>
          <w:bCs/>
          <w:color w:val="000000" w:themeColor="text1"/>
          <w:highlight w:val="none"/>
          <w14:textFill>
            <w14:solidFill>
              <w14:schemeClr w14:val="tx1"/>
            </w14:solidFill>
          </w14:textFill>
        </w:rPr>
        <w:t>38</w:t>
      </w:r>
      <w:r>
        <w:rPr>
          <w:rFonts w:ascii="宋体" w:hAnsi="宋体"/>
          <w:b/>
          <w:bCs/>
          <w:color w:val="000000" w:themeColor="text1"/>
          <w:highlight w:val="none"/>
          <w14:textFill>
            <w14:solidFill>
              <w14:schemeClr w14:val="tx1"/>
            </w14:solidFill>
          </w14:textFill>
        </w:rPr>
        <w:t>保密</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38.1 </w:t>
      </w:r>
      <w:r>
        <w:rPr>
          <w:rFonts w:ascii="宋体" w:hAnsi="宋体"/>
          <w:color w:val="000000" w:themeColor="text1"/>
          <w:highlight w:val="none"/>
          <w14:textFill>
            <w14:solidFill>
              <w14:schemeClr w14:val="tx1"/>
            </w14:solidFill>
          </w14:textFill>
        </w:rPr>
        <w:t>由比选人向比选申请人提供的比选文件、图纸、详细资料、模型、模件和所有其他资料，被视为保密资料，仅被用于它所规定的用途，除非得到比选人的书面同意，不能向任何第三方透露。</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38.2 </w:t>
      </w:r>
      <w:r>
        <w:rPr>
          <w:rFonts w:ascii="宋体" w:hAnsi="宋体"/>
          <w:color w:val="000000" w:themeColor="text1"/>
          <w:highlight w:val="none"/>
          <w14:textFill>
            <w14:solidFill>
              <w14:schemeClr w14:val="tx1"/>
            </w14:solidFill>
          </w14:textFill>
        </w:rPr>
        <w:t>在比选申请文件完成后，应比选人要求，比选申请人应归还所有从比选人获得的保密资料，以及所有的无论从任何媒介获得的复印件和摘录。</w:t>
      </w:r>
    </w:p>
    <w:p>
      <w:pPr>
        <w:tabs>
          <w:tab w:val="left" w:pos="425"/>
          <w:tab w:val="left" w:pos="1134"/>
          <w:tab w:val="left" w:pos="8364"/>
        </w:tabs>
        <w:spacing w:before="0" w:after="0" w:afterAutospacing="0"/>
        <w:ind w:left="0" w:right="0" w:firstLine="422" w:firstLineChars="200"/>
        <w:rPr>
          <w:rFonts w:ascii="宋体" w:hAnsi="宋体"/>
          <w:b/>
          <w:bCs/>
          <w:color w:val="000000" w:themeColor="text1"/>
          <w:highlight w:val="none"/>
          <w14:textFill>
            <w14:solidFill>
              <w14:schemeClr w14:val="tx1"/>
            </w14:solidFill>
          </w14:textFill>
        </w:rPr>
      </w:pPr>
      <w:r>
        <w:rPr>
          <w:rFonts w:hint="eastAsia" w:ascii="宋体" w:hAnsi="宋体"/>
          <w:b/>
          <w:bCs/>
          <w:color w:val="000000" w:themeColor="text1"/>
          <w:highlight w:val="none"/>
          <w14:textFill>
            <w14:solidFill>
              <w14:schemeClr w14:val="tx1"/>
            </w14:solidFill>
          </w14:textFill>
        </w:rPr>
        <w:t>39</w:t>
      </w:r>
      <w:r>
        <w:rPr>
          <w:rFonts w:ascii="宋体" w:hAnsi="宋体"/>
          <w:b/>
          <w:bCs/>
          <w:color w:val="000000" w:themeColor="text1"/>
          <w:highlight w:val="none"/>
          <w14:textFill>
            <w14:solidFill>
              <w14:schemeClr w14:val="tx1"/>
            </w14:solidFill>
          </w14:textFill>
        </w:rPr>
        <w:t>比选申请人知悉</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39.1 </w:t>
      </w:r>
      <w:r>
        <w:rPr>
          <w:rFonts w:ascii="宋体" w:hAnsi="宋体"/>
          <w:color w:val="000000" w:themeColor="text1"/>
          <w:highlight w:val="none"/>
          <w14:textFill>
            <w14:solidFill>
              <w14:schemeClr w14:val="tx1"/>
            </w14:solidFill>
          </w14:textFill>
        </w:rPr>
        <w:t>比选申请人将被视为已合理地充分了解了对所有影响本项目的事项，包括任何与</w:t>
      </w:r>
      <w:r>
        <w:rPr>
          <w:rFonts w:hint="eastAsia" w:ascii="宋体" w:hAnsi="宋体"/>
          <w:color w:val="000000" w:themeColor="text1"/>
          <w:highlight w:val="none"/>
          <w14:textFill>
            <w14:solidFill>
              <w14:schemeClr w14:val="tx1"/>
            </w14:solidFill>
          </w14:textFill>
        </w:rPr>
        <w:t>项目</w:t>
      </w:r>
      <w:r>
        <w:rPr>
          <w:rFonts w:ascii="宋体" w:hAnsi="宋体"/>
          <w:color w:val="000000" w:themeColor="text1"/>
          <w:highlight w:val="none"/>
          <w14:textFill>
            <w14:solidFill>
              <w14:schemeClr w14:val="tx1"/>
            </w14:solidFill>
          </w14:textFill>
        </w:rPr>
        <w:t>和项目时间表有关的特殊困难。</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39.2 </w:t>
      </w:r>
      <w:r>
        <w:rPr>
          <w:rFonts w:ascii="宋体" w:hAnsi="宋体"/>
          <w:color w:val="000000" w:themeColor="text1"/>
          <w:highlight w:val="none"/>
          <w14:textFill>
            <w14:solidFill>
              <w14:schemeClr w14:val="tx1"/>
            </w14:solidFill>
          </w14:textFill>
        </w:rPr>
        <w:t>如果比选申请人在比选申请过程中有欺诈行为，则比选人有权否决比选申请人的比选申请。</w:t>
      </w:r>
    </w:p>
    <w:p>
      <w:pPr>
        <w:tabs>
          <w:tab w:val="left" w:pos="425"/>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39.3 分包：本项目不允许分包、禁止转包。</w:t>
      </w:r>
    </w:p>
    <w:p>
      <w:pPr>
        <w:tabs>
          <w:tab w:val="left" w:pos="425"/>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39.4需要补充的其他内容：详见比选申请须知前附表</w:t>
      </w:r>
    </w:p>
    <w:p>
      <w:pPr>
        <w:tabs>
          <w:tab w:val="left" w:pos="425"/>
          <w:tab w:val="left" w:pos="1134"/>
          <w:tab w:val="left" w:pos="8364"/>
        </w:tabs>
        <w:spacing w:before="0" w:after="0" w:afterAutospacing="0" w:line="240" w:lineRule="auto"/>
        <w:ind w:left="0" w:right="0" w:firstLine="422" w:firstLineChars="200"/>
        <w:rPr>
          <w:rFonts w:ascii="宋体" w:hAnsi="宋体"/>
          <w:b/>
          <w:bCs/>
          <w:color w:val="000000" w:themeColor="text1"/>
          <w:highlight w:val="none"/>
          <w14:textFill>
            <w14:solidFill>
              <w14:schemeClr w14:val="tx1"/>
            </w14:solidFill>
          </w14:textFill>
        </w:rPr>
      </w:pPr>
      <w:r>
        <w:rPr>
          <w:rFonts w:hint="eastAsia" w:ascii="宋体" w:hAnsi="宋体"/>
          <w:b/>
          <w:bCs/>
          <w:color w:val="000000" w:themeColor="text1"/>
          <w:highlight w:val="none"/>
          <w14:textFill>
            <w14:solidFill>
              <w14:schemeClr w14:val="tx1"/>
            </w14:solidFill>
          </w14:textFill>
        </w:rPr>
        <w:t>40其他</w:t>
      </w:r>
    </w:p>
    <w:p>
      <w:pPr>
        <w:tabs>
          <w:tab w:val="left" w:pos="1134"/>
          <w:tab w:val="left" w:pos="8364"/>
        </w:tabs>
        <w:spacing w:before="0" w:after="0" w:afterAutospacing="0"/>
        <w:ind w:left="0" w:right="0" w:firstLine="420" w:firstLineChars="2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本项目采购及合同执行的任何阶段，如果比选人发现比选申请人/中选人存在下述行为之一的，比选人有权取消其比选申请/中选资格，比选申请/中选无效。情节严重的，报同级或上级监管部门依法进行处理，同时按比选人的不良信用名单实施办法或细则，将其列入比选人的不良信用名单，比选人有权禁止其参加比选人的任何采购项目，禁止时限为6个月至五年，具体时限视情节严重情况而定：</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40.1比选申请人在投标截止期后撤回其比选申请的。</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40.2提供虚假材料谋取中选的。</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40.3采取不正当手段诋毁、排挤其他供应商的。</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40.4恶意串通等不正当竞争行为的。</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40.5中</w:t>
      </w:r>
      <w:r>
        <w:rPr>
          <w:rFonts w:hint="eastAsia" w:ascii="宋体" w:hAnsi="宋体"/>
          <w:color w:val="000000" w:themeColor="text1"/>
          <w:highlight w:val="none"/>
          <w14:textFill>
            <w14:solidFill>
              <w14:schemeClr w14:val="tx1"/>
            </w14:solidFill>
          </w14:textFill>
        </w:rPr>
        <w:t>选</w:t>
      </w:r>
      <w:r>
        <w:rPr>
          <w:rFonts w:ascii="宋体" w:hAnsi="宋体"/>
          <w:color w:val="000000" w:themeColor="text1"/>
          <w:highlight w:val="none"/>
          <w14:textFill>
            <w14:solidFill>
              <w14:schemeClr w14:val="tx1"/>
            </w14:solidFill>
          </w14:textFill>
        </w:rPr>
        <w:t>后无正当理由拒不与采购人签订合同的。</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40.6未照比选、比选申请文件确定的事项签订合同的。</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40.7将合同转包的。</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40.8提供假冒伪劣产品的。</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40.9擅自变更、中止或者终止合同的。</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40.10中选人签订合同后，不能履约或无故拖延履约期的。</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40.11 中选人未按比选申请须知要求在比选申请阶段提出异议或疑问，在成交后无法满足</w:t>
      </w:r>
      <w:r>
        <w:rPr>
          <w:rFonts w:hint="eastAsia" w:ascii="宋体" w:hAnsi="宋体"/>
          <w:color w:val="000000" w:themeColor="text1"/>
          <w:highlight w:val="none"/>
          <w14:textFill>
            <w14:solidFill>
              <w14:schemeClr w14:val="tx1"/>
            </w14:solidFill>
          </w14:textFill>
        </w:rPr>
        <w:t>比选需求</w:t>
      </w:r>
      <w:r>
        <w:rPr>
          <w:rFonts w:ascii="宋体" w:hAnsi="宋体"/>
          <w:color w:val="000000" w:themeColor="text1"/>
          <w:highlight w:val="none"/>
          <w14:textFill>
            <w14:solidFill>
              <w14:schemeClr w14:val="tx1"/>
            </w14:solidFill>
          </w14:textFill>
        </w:rPr>
        <w:t>被认定为无效报价或主动放弃成交资格的。</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40.12 中选人在成交后无正当理由放弃成交资格的。</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40.13比选文件、法律、法规规定的其他情形。</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p>
    <w:p>
      <w:pPr>
        <w:pStyle w:val="15"/>
        <w:pageBreakBefore/>
        <w:ind w:right="-57" w:firstLine="0"/>
        <w:jc w:val="center"/>
        <w:outlineLvl w:val="0"/>
        <w:rPr>
          <w:b/>
          <w:bCs/>
          <w:color w:val="000000" w:themeColor="text1"/>
          <w:spacing w:val="20"/>
          <w:sz w:val="48"/>
          <w:highlight w:val="none"/>
          <w14:textFill>
            <w14:solidFill>
              <w14:schemeClr w14:val="tx1"/>
            </w14:solidFill>
          </w14:textFill>
        </w:rPr>
      </w:pPr>
      <w:bookmarkStart w:id="1138" w:name="_Toc15740"/>
      <w:bookmarkStart w:id="1139" w:name="_Toc25920"/>
      <w:bookmarkStart w:id="1140" w:name="_Toc11424"/>
      <w:bookmarkStart w:id="1141" w:name="_Toc16340"/>
      <w:bookmarkStart w:id="1142" w:name="_Toc13323"/>
      <w:bookmarkStart w:id="1143" w:name="_Toc21919"/>
      <w:bookmarkStart w:id="1144" w:name="_Toc9458"/>
      <w:bookmarkStart w:id="1145" w:name="_Toc9991"/>
      <w:bookmarkStart w:id="1146" w:name="_Toc14991"/>
      <w:bookmarkStart w:id="1147" w:name="_Toc17022"/>
      <w:bookmarkStart w:id="1148" w:name="_Toc28464"/>
      <w:bookmarkStart w:id="1149" w:name="_Toc9725"/>
      <w:bookmarkStart w:id="1150" w:name="_Toc23292"/>
      <w:bookmarkStart w:id="1151" w:name="_Toc1179"/>
      <w:bookmarkStart w:id="1152" w:name="_Toc7547"/>
      <w:bookmarkStart w:id="1153" w:name="_Toc10158"/>
      <w:bookmarkStart w:id="1154" w:name="_Toc12281"/>
      <w:bookmarkStart w:id="1155" w:name="_Toc4003"/>
      <w:r>
        <w:rPr>
          <w:rStyle w:val="53"/>
          <w:rFonts w:hint="eastAsia" w:ascii="宋体" w:hAnsi="宋体" w:eastAsia="宋体"/>
          <w:color w:val="000000" w:themeColor="text1"/>
          <w:highlight w:val="none"/>
          <w14:textFill>
            <w14:solidFill>
              <w14:schemeClr w14:val="tx1"/>
            </w14:solidFill>
          </w14:textFill>
        </w:rPr>
        <w:t>第三章合同条款及格式</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r>
        <w:rPr>
          <w:rFonts w:hint="eastAsia"/>
          <w:b/>
          <w:bCs/>
          <w:color w:val="000000" w:themeColor="text1"/>
          <w:spacing w:val="20"/>
          <w:szCs w:val="21"/>
          <w:highlight w:val="none"/>
          <w14:textFill>
            <w14:solidFill>
              <w14:schemeClr w14:val="tx1"/>
            </w14:solidFill>
          </w14:textFill>
        </w:rPr>
        <w:t xml:space="preserve"> </w:t>
      </w:r>
    </w:p>
    <w:p>
      <w:pPr>
        <w:spacing w:line="500" w:lineRule="exact"/>
        <w:jc w:val="left"/>
        <w:rPr>
          <w:rFonts w:hint="default"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合同编号：</w:t>
      </w:r>
    </w:p>
    <w:p>
      <w:pPr>
        <w:pStyle w:val="30"/>
        <w:spacing w:line="500" w:lineRule="exact"/>
        <w:jc w:val="center"/>
        <w:rPr>
          <w:rFonts w:hint="eastAsia" w:ascii="仿宋_GB2312" w:hAnsi="华文中宋" w:eastAsia="仿宋_GB2312"/>
          <w:b/>
          <w:bCs/>
          <w:sz w:val="36"/>
          <w:szCs w:val="36"/>
          <w:highlight w:val="none"/>
        </w:rPr>
      </w:pPr>
    </w:p>
    <w:p>
      <w:pPr>
        <w:pStyle w:val="30"/>
        <w:spacing w:line="500" w:lineRule="exact"/>
        <w:jc w:val="center"/>
        <w:rPr>
          <w:rFonts w:hint="eastAsia" w:ascii="仿宋_GB2312" w:hAnsi="华文中宋" w:eastAsia="仿宋_GB2312"/>
          <w:b/>
          <w:bCs/>
          <w:sz w:val="36"/>
          <w:szCs w:val="36"/>
          <w:highlight w:val="none"/>
        </w:rPr>
      </w:pPr>
    </w:p>
    <w:p>
      <w:pPr>
        <w:pStyle w:val="30"/>
        <w:spacing w:line="500" w:lineRule="exact"/>
        <w:jc w:val="center"/>
        <w:rPr>
          <w:rFonts w:hint="eastAsia" w:ascii="仿宋_GB2312" w:hAnsi="华文中宋" w:eastAsia="仿宋_GB2312"/>
          <w:b/>
          <w:bCs/>
          <w:sz w:val="36"/>
          <w:szCs w:val="36"/>
          <w:highlight w:val="none"/>
        </w:rPr>
      </w:pPr>
    </w:p>
    <w:p>
      <w:pPr>
        <w:pStyle w:val="30"/>
        <w:spacing w:line="500" w:lineRule="exact"/>
        <w:jc w:val="center"/>
        <w:rPr>
          <w:rFonts w:ascii="仿宋_GB2312" w:hAnsi="华文中宋" w:eastAsia="仿宋_GB2312"/>
          <w:b/>
          <w:bCs/>
          <w:sz w:val="36"/>
          <w:szCs w:val="36"/>
          <w:highlight w:val="none"/>
        </w:rPr>
      </w:pPr>
      <w:r>
        <w:rPr>
          <w:rFonts w:hint="eastAsia" w:ascii="仿宋_GB2312" w:hAnsi="华文中宋" w:eastAsia="仿宋_GB2312"/>
          <w:b/>
          <w:bCs/>
          <w:sz w:val="36"/>
          <w:szCs w:val="36"/>
          <w:highlight w:val="none"/>
          <w:lang w:eastAsia="zh-CN"/>
        </w:rPr>
        <w:t>南宁市白沙半岛片区城中村改造项目安置住房小区4号地块配套基础设施-纵一路设计</w:t>
      </w:r>
      <w:r>
        <w:rPr>
          <w:rFonts w:hint="eastAsia" w:ascii="仿宋_GB2312" w:hAnsi="华文中宋" w:eastAsia="仿宋_GB2312"/>
          <w:b/>
          <w:bCs/>
          <w:sz w:val="36"/>
          <w:szCs w:val="36"/>
          <w:highlight w:val="none"/>
        </w:rPr>
        <w:t>合同</w:t>
      </w:r>
    </w:p>
    <w:p>
      <w:pPr>
        <w:pStyle w:val="30"/>
        <w:spacing w:line="500" w:lineRule="exact"/>
        <w:jc w:val="center"/>
        <w:rPr>
          <w:rFonts w:ascii="仿宋_GB2312" w:eastAsia="仿宋_GB2312"/>
          <w:b/>
          <w:bCs/>
          <w:sz w:val="52"/>
          <w:szCs w:val="52"/>
          <w:highlight w:val="none"/>
        </w:rPr>
      </w:pPr>
    </w:p>
    <w:p>
      <w:pPr>
        <w:spacing w:after="312" w:afterLines="100" w:line="500" w:lineRule="exact"/>
        <w:jc w:val="left"/>
        <w:rPr>
          <w:rFonts w:ascii="仿宋_GB2312" w:hAnsi="宋体" w:eastAsia="仿宋_GB2312"/>
          <w:sz w:val="52"/>
          <w:szCs w:val="52"/>
          <w:highlight w:val="none"/>
        </w:rPr>
      </w:pPr>
    </w:p>
    <w:p>
      <w:pPr>
        <w:spacing w:after="312" w:afterLines="100" w:line="500" w:lineRule="exact"/>
        <w:jc w:val="left"/>
        <w:rPr>
          <w:rFonts w:ascii="仿宋_GB2312" w:hAnsi="宋体" w:eastAsia="仿宋_GB2312"/>
          <w:highlight w:val="none"/>
        </w:rPr>
      </w:pPr>
    </w:p>
    <w:p>
      <w:pPr>
        <w:pStyle w:val="32"/>
        <w:rPr>
          <w:rFonts w:ascii="仿宋_GB2312" w:hAnsi="宋体" w:eastAsia="仿宋_GB2312"/>
          <w:highlight w:val="none"/>
        </w:rPr>
      </w:pPr>
    </w:p>
    <w:p>
      <w:pPr>
        <w:pStyle w:val="32"/>
        <w:rPr>
          <w:rFonts w:ascii="仿宋_GB2312" w:hAnsi="宋体" w:eastAsia="仿宋_GB2312"/>
          <w:highlight w:val="none"/>
        </w:rPr>
      </w:pPr>
    </w:p>
    <w:p>
      <w:pPr>
        <w:pStyle w:val="32"/>
        <w:rPr>
          <w:rFonts w:ascii="仿宋_GB2312" w:hAnsi="宋体" w:eastAsia="仿宋_GB2312"/>
          <w:highlight w:val="none"/>
        </w:rPr>
      </w:pPr>
    </w:p>
    <w:p>
      <w:pPr>
        <w:pStyle w:val="32"/>
        <w:ind w:left="0" w:leftChars="0" w:firstLine="0" w:firstLineChars="0"/>
        <w:rPr>
          <w:rFonts w:ascii="仿宋_GB2312" w:hAnsi="宋体" w:eastAsia="仿宋_GB2312"/>
          <w:highlight w:val="none"/>
        </w:rPr>
      </w:pPr>
    </w:p>
    <w:p>
      <w:pPr>
        <w:spacing w:line="800" w:lineRule="exact"/>
        <w:ind w:firstLine="900" w:firstLineChars="300"/>
        <w:jc w:val="left"/>
        <w:rPr>
          <w:rFonts w:hint="default" w:eastAsia="宋体"/>
          <w:sz w:val="30"/>
          <w:szCs w:val="30"/>
          <w:u w:val="single"/>
          <w:lang w:val="en-US" w:eastAsia="zh-CN"/>
        </w:rPr>
      </w:pPr>
      <w:r>
        <w:rPr>
          <w:rFonts w:hint="eastAsia"/>
          <w:sz w:val="30"/>
          <w:szCs w:val="30"/>
        </w:rPr>
        <w:t>发包人：</w:t>
      </w:r>
      <w:r>
        <w:rPr>
          <w:rFonts w:hint="eastAsia"/>
          <w:sz w:val="30"/>
          <w:szCs w:val="30"/>
          <w:u w:val="single"/>
          <w:lang w:val="en-US" w:eastAsia="zh-CN"/>
        </w:rPr>
        <w:t>南宁兴邕城市更新有限责任公司</w:t>
      </w:r>
    </w:p>
    <w:p>
      <w:pPr>
        <w:spacing w:line="800" w:lineRule="exact"/>
        <w:ind w:firstLine="900" w:firstLineChars="300"/>
        <w:jc w:val="left"/>
        <w:rPr>
          <w:rFonts w:hint="default" w:eastAsia="宋体"/>
          <w:sz w:val="30"/>
          <w:szCs w:val="30"/>
          <w:u w:val="single"/>
          <w:lang w:val="en-US" w:eastAsia="zh-CN"/>
        </w:rPr>
      </w:pPr>
      <w:r>
        <w:rPr>
          <w:rFonts w:hint="eastAsia"/>
          <w:sz w:val="30"/>
          <w:szCs w:val="30"/>
        </w:rPr>
        <w:t>设计人：</w:t>
      </w:r>
      <w:r>
        <w:rPr>
          <w:rFonts w:hint="eastAsia"/>
          <w:sz w:val="30"/>
          <w:szCs w:val="30"/>
          <w:u w:val="single"/>
          <w:lang w:val="en-US" w:eastAsia="zh-CN"/>
        </w:rPr>
        <w:t xml:space="preserve">                    </w:t>
      </w:r>
    </w:p>
    <w:p>
      <w:pPr>
        <w:pStyle w:val="12"/>
        <w:tabs>
          <w:tab w:val="left" w:pos="0"/>
        </w:tabs>
        <w:spacing w:line="400" w:lineRule="exact"/>
        <w:ind w:left="0" w:leftChars="0" w:firstLine="900" w:firstLineChars="300"/>
        <w:rPr>
          <w:sz w:val="30"/>
          <w:szCs w:val="30"/>
        </w:rPr>
      </w:pPr>
    </w:p>
    <w:p>
      <w:pPr>
        <w:pStyle w:val="12"/>
        <w:tabs>
          <w:tab w:val="left" w:pos="0"/>
        </w:tabs>
        <w:spacing w:line="400" w:lineRule="exact"/>
        <w:ind w:left="0" w:leftChars="0" w:firstLine="1800" w:firstLineChars="600"/>
        <w:rPr>
          <w:sz w:val="30"/>
          <w:szCs w:val="30"/>
          <w:u w:val="single"/>
        </w:rPr>
      </w:pPr>
      <w:r>
        <w:rPr>
          <w:rFonts w:hint="eastAsia"/>
          <w:sz w:val="30"/>
          <w:szCs w:val="30"/>
        </w:rPr>
        <w:t>签约时间：202</w:t>
      </w:r>
      <w:r>
        <w:rPr>
          <w:rFonts w:hint="eastAsia"/>
          <w:sz w:val="30"/>
          <w:szCs w:val="30"/>
          <w:lang w:val="en-US" w:eastAsia="zh-CN"/>
        </w:rPr>
        <w:t>4</w:t>
      </w:r>
      <w:r>
        <w:rPr>
          <w:rFonts w:hint="eastAsia"/>
          <w:sz w:val="30"/>
          <w:szCs w:val="30"/>
        </w:rPr>
        <w:t xml:space="preserve">年 </w:t>
      </w:r>
      <w:r>
        <w:rPr>
          <w:rFonts w:hint="eastAsia"/>
          <w:sz w:val="30"/>
          <w:szCs w:val="30"/>
          <w:lang w:val="en-US" w:eastAsia="zh-CN"/>
        </w:rPr>
        <w:t xml:space="preserve"> </w:t>
      </w:r>
      <w:r>
        <w:rPr>
          <w:rFonts w:hint="eastAsia"/>
          <w:sz w:val="30"/>
          <w:szCs w:val="30"/>
        </w:rPr>
        <w:t>月</w:t>
      </w:r>
    </w:p>
    <w:p>
      <w:pPr>
        <w:widowControl/>
        <w:jc w:val="left"/>
        <w:rPr>
          <w:rFonts w:ascii="宋体" w:hAnsi="宋体"/>
          <w:szCs w:val="21"/>
        </w:rPr>
      </w:pPr>
    </w:p>
    <w:p>
      <w:pPr>
        <w:pStyle w:val="32"/>
      </w:pPr>
    </w:p>
    <w:p>
      <w:pPr>
        <w:spacing w:line="246" w:lineRule="auto"/>
        <w:ind w:left="0" w:leftChars="0" w:firstLine="0" w:firstLineChars="0"/>
        <w:rPr>
          <w:rFonts w:ascii="Arial"/>
          <w:sz w:val="21"/>
        </w:rPr>
      </w:pPr>
    </w:p>
    <w:p>
      <w:pPr>
        <w:spacing w:before="101" w:line="224" w:lineRule="auto"/>
        <w:ind w:left="2833"/>
        <w:outlineLvl w:val="0"/>
        <w:rPr>
          <w:rFonts w:ascii="Arial"/>
          <w:sz w:val="21"/>
        </w:rPr>
      </w:pPr>
      <w:bookmarkStart w:id="1156" w:name="bookmark208"/>
      <w:bookmarkEnd w:id="1156"/>
      <w:bookmarkStart w:id="1157" w:name="bookmark207"/>
      <w:bookmarkEnd w:id="1157"/>
      <w:r>
        <w:rPr>
          <w:rFonts w:ascii="黑体" w:hAnsi="黑体" w:eastAsia="黑体" w:cs="黑体"/>
          <w:b/>
          <w:bCs/>
          <w:spacing w:val="6"/>
          <w:sz w:val="31"/>
          <w:szCs w:val="31"/>
        </w:rPr>
        <w:t>第一部分</w:t>
      </w:r>
      <w:r>
        <w:rPr>
          <w:rFonts w:ascii="黑体" w:hAnsi="黑体" w:eastAsia="黑体" w:cs="黑体"/>
          <w:spacing w:val="6"/>
          <w:sz w:val="31"/>
          <w:szCs w:val="31"/>
        </w:rPr>
        <w:t xml:space="preserve"> </w:t>
      </w:r>
      <w:r>
        <w:rPr>
          <w:rFonts w:ascii="黑体" w:hAnsi="黑体" w:eastAsia="黑体" w:cs="黑体"/>
          <w:b/>
          <w:bCs/>
          <w:spacing w:val="6"/>
          <w:sz w:val="31"/>
          <w:szCs w:val="31"/>
        </w:rPr>
        <w:t>合同协议书</w:t>
      </w:r>
    </w:p>
    <w:p>
      <w:pPr>
        <w:pStyle w:val="11"/>
        <w:spacing w:before="68" w:line="221" w:lineRule="auto"/>
        <w:ind w:left="443"/>
        <w:rPr>
          <w:sz w:val="21"/>
          <w:szCs w:val="21"/>
        </w:rPr>
      </w:pPr>
      <w:r>
        <w:rPr>
          <w:spacing w:val="-13"/>
          <w:sz w:val="21"/>
          <w:szCs w:val="21"/>
        </w:rPr>
        <w:t>发包人（全称</w:t>
      </w:r>
      <w:r>
        <w:rPr>
          <w:spacing w:val="-19"/>
          <w:sz w:val="21"/>
          <w:szCs w:val="21"/>
        </w:rPr>
        <w:t>）：</w:t>
      </w:r>
      <w:r>
        <w:rPr>
          <w:sz w:val="21"/>
          <w:szCs w:val="21"/>
          <w:u w:val="single" w:color="auto"/>
        </w:rPr>
        <w:t xml:space="preserve">               </w:t>
      </w:r>
    </w:p>
    <w:p>
      <w:pPr>
        <w:pStyle w:val="11"/>
        <w:spacing w:before="67" w:line="222" w:lineRule="auto"/>
        <w:ind w:left="443"/>
        <w:rPr>
          <w:sz w:val="21"/>
          <w:szCs w:val="21"/>
        </w:rPr>
      </w:pPr>
      <w:r>
        <w:rPr>
          <w:spacing w:val="-13"/>
          <w:sz w:val="21"/>
          <w:szCs w:val="21"/>
        </w:rPr>
        <w:t>设计人（全称</w:t>
      </w:r>
      <w:r>
        <w:rPr>
          <w:spacing w:val="-19"/>
          <w:sz w:val="21"/>
          <w:szCs w:val="21"/>
        </w:rPr>
        <w:t>）：</w:t>
      </w:r>
      <w:r>
        <w:rPr>
          <w:sz w:val="21"/>
          <w:szCs w:val="21"/>
          <w:u w:val="single" w:color="auto"/>
        </w:rPr>
        <w:t xml:space="preserve">                                        </w:t>
      </w:r>
    </w:p>
    <w:p>
      <w:pPr>
        <w:pStyle w:val="11"/>
        <w:spacing w:before="65" w:line="273" w:lineRule="auto"/>
        <w:ind w:left="20" w:firstLine="419"/>
        <w:rPr>
          <w:sz w:val="21"/>
          <w:szCs w:val="21"/>
        </w:rPr>
      </w:pPr>
      <w:r>
        <w:rPr>
          <w:spacing w:val="-4"/>
          <w:sz w:val="21"/>
          <w:szCs w:val="21"/>
        </w:rPr>
        <w:t>根据《中华人民共和国民法典》、《中华人民共和国建筑法》及国家、地方、行业等有关法</w:t>
      </w:r>
      <w:r>
        <w:rPr>
          <w:spacing w:val="2"/>
          <w:sz w:val="21"/>
          <w:szCs w:val="21"/>
        </w:rPr>
        <w:t xml:space="preserve"> </w:t>
      </w:r>
      <w:r>
        <w:rPr>
          <w:spacing w:val="-2"/>
          <w:sz w:val="21"/>
          <w:szCs w:val="21"/>
        </w:rPr>
        <w:t>律法规，遵循平等、自愿、公平和诚实信用的原则，双方就</w:t>
      </w:r>
      <w:r>
        <w:rPr>
          <w:spacing w:val="-105"/>
          <w:sz w:val="21"/>
          <w:szCs w:val="21"/>
        </w:rPr>
        <w:t xml:space="preserve"> </w:t>
      </w:r>
      <w:r>
        <w:rPr>
          <w:sz w:val="21"/>
          <w:szCs w:val="21"/>
          <w:u w:val="single" w:color="auto"/>
        </w:rPr>
        <w:t xml:space="preserve">                     </w:t>
      </w:r>
      <w:r>
        <w:rPr>
          <w:spacing w:val="-92"/>
          <w:sz w:val="21"/>
          <w:szCs w:val="21"/>
        </w:rPr>
        <w:t xml:space="preserve"> </w:t>
      </w:r>
      <w:r>
        <w:rPr>
          <w:spacing w:val="-2"/>
          <w:sz w:val="21"/>
          <w:szCs w:val="21"/>
        </w:rPr>
        <w:t>设计及有关</w:t>
      </w:r>
      <w:r>
        <w:rPr>
          <w:sz w:val="21"/>
          <w:szCs w:val="21"/>
        </w:rPr>
        <w:t xml:space="preserve"> </w:t>
      </w:r>
      <w:r>
        <w:rPr>
          <w:spacing w:val="-2"/>
          <w:sz w:val="21"/>
          <w:szCs w:val="21"/>
        </w:rPr>
        <w:t>事项协商一致，共同达成如下协议：</w:t>
      </w:r>
    </w:p>
    <w:p>
      <w:pPr>
        <w:pStyle w:val="11"/>
        <w:spacing w:before="30" w:line="221" w:lineRule="auto"/>
        <w:ind w:left="443"/>
        <w:rPr>
          <w:sz w:val="21"/>
          <w:szCs w:val="21"/>
        </w:rPr>
      </w:pPr>
      <w:r>
        <w:rPr>
          <w:spacing w:val="-3"/>
          <w:sz w:val="21"/>
          <w:szCs w:val="21"/>
        </w:rPr>
        <w:t>一、</w:t>
      </w:r>
      <w:r>
        <w:rPr>
          <w:b/>
          <w:bCs/>
          <w:spacing w:val="-3"/>
          <w:sz w:val="21"/>
          <w:szCs w:val="21"/>
        </w:rPr>
        <w:t>工程概况</w:t>
      </w:r>
    </w:p>
    <w:p>
      <w:pPr>
        <w:pStyle w:val="11"/>
        <w:keepNext w:val="0"/>
        <w:keepLines w:val="0"/>
        <w:pageBreakBefore w:val="0"/>
        <w:widowControl/>
        <w:kinsoku/>
        <w:wordWrap/>
        <w:overflowPunct/>
        <w:topLinePunct w:val="0"/>
        <w:autoSpaceDE/>
        <w:autoSpaceDN/>
        <w:bidi w:val="0"/>
        <w:adjustRightInd/>
        <w:snapToGrid/>
        <w:spacing w:before="71" w:line="240" w:lineRule="auto"/>
        <w:ind w:left="442" w:right="4294" w:firstLine="0"/>
        <w:textAlignment w:val="auto"/>
        <w:rPr>
          <w:spacing w:val="-2"/>
          <w:sz w:val="21"/>
          <w:szCs w:val="21"/>
        </w:rPr>
      </w:pPr>
      <w:r>
        <w:rPr>
          <w:spacing w:val="-7"/>
          <w:sz w:val="21"/>
          <w:szCs w:val="21"/>
        </w:rPr>
        <w:t>1.工程名称：</w:t>
      </w:r>
      <w:r>
        <w:rPr>
          <w:spacing w:val="4"/>
          <w:sz w:val="21"/>
          <w:szCs w:val="21"/>
          <w:u w:val="single" w:color="auto"/>
        </w:rPr>
        <w:t xml:space="preserve">                       </w:t>
      </w:r>
      <w:r>
        <w:rPr>
          <w:spacing w:val="-7"/>
          <w:sz w:val="21"/>
          <w:szCs w:val="21"/>
        </w:rPr>
        <w:t>。</w:t>
      </w:r>
      <w:r>
        <w:rPr>
          <w:spacing w:val="14"/>
          <w:sz w:val="21"/>
          <w:szCs w:val="21"/>
        </w:rPr>
        <w:t xml:space="preserve"> </w:t>
      </w:r>
      <w:r>
        <w:rPr>
          <w:spacing w:val="-2"/>
          <w:sz w:val="21"/>
          <w:szCs w:val="21"/>
        </w:rPr>
        <w:t>2.工程地点：</w:t>
      </w:r>
      <w:r>
        <w:rPr>
          <w:spacing w:val="-2"/>
          <w:sz w:val="21"/>
          <w:szCs w:val="21"/>
          <w:u w:val="single" w:color="auto"/>
        </w:rPr>
        <w:t xml:space="preserve">  南宁市</w:t>
      </w:r>
      <w:r>
        <w:rPr>
          <w:spacing w:val="4"/>
          <w:sz w:val="21"/>
          <w:szCs w:val="21"/>
          <w:u w:val="single" w:color="auto"/>
        </w:rPr>
        <w:t xml:space="preserve">     </w:t>
      </w:r>
      <w:r>
        <w:rPr>
          <w:spacing w:val="-2"/>
          <w:sz w:val="21"/>
          <w:szCs w:val="21"/>
          <w:u w:val="single" w:color="auto"/>
        </w:rPr>
        <w:t xml:space="preserve">区   </w:t>
      </w:r>
      <w:r>
        <w:rPr>
          <w:spacing w:val="-2"/>
          <w:sz w:val="21"/>
          <w:szCs w:val="21"/>
        </w:rPr>
        <w:t>。</w:t>
      </w:r>
    </w:p>
    <w:p>
      <w:pPr>
        <w:pStyle w:val="11"/>
        <w:keepNext w:val="0"/>
        <w:keepLines w:val="0"/>
        <w:pageBreakBefore w:val="0"/>
        <w:widowControl/>
        <w:kinsoku/>
        <w:wordWrap/>
        <w:overflowPunct/>
        <w:topLinePunct w:val="0"/>
        <w:autoSpaceDE/>
        <w:autoSpaceDN/>
        <w:bidi w:val="0"/>
        <w:adjustRightInd/>
        <w:snapToGrid/>
        <w:spacing w:before="71" w:line="240" w:lineRule="auto"/>
        <w:ind w:left="442" w:right="4294" w:firstLine="0"/>
        <w:textAlignment w:val="auto"/>
        <w:rPr>
          <w:sz w:val="21"/>
          <w:szCs w:val="21"/>
        </w:rPr>
      </w:pPr>
      <w:r>
        <w:rPr>
          <w:spacing w:val="-1"/>
          <w:sz w:val="21"/>
          <w:szCs w:val="21"/>
        </w:rPr>
        <w:t xml:space="preserve">3.工程内容及规模： </w:t>
      </w:r>
      <w:r>
        <w:rPr>
          <w:sz w:val="21"/>
          <w:szCs w:val="21"/>
          <w:u w:val="single" w:color="auto"/>
        </w:rPr>
        <w:t xml:space="preserve">                    </w:t>
      </w:r>
    </w:p>
    <w:p>
      <w:pPr>
        <w:pStyle w:val="11"/>
        <w:keepNext w:val="0"/>
        <w:keepLines w:val="0"/>
        <w:pageBreakBefore w:val="0"/>
        <w:widowControl/>
        <w:kinsoku/>
        <w:wordWrap/>
        <w:overflowPunct/>
        <w:topLinePunct w:val="0"/>
        <w:autoSpaceDE/>
        <w:autoSpaceDN/>
        <w:bidi w:val="0"/>
        <w:adjustRightInd/>
        <w:snapToGrid/>
        <w:spacing w:before="71" w:line="240" w:lineRule="auto"/>
        <w:ind w:left="21" w:leftChars="0" w:right="24" w:firstLine="397" w:firstLineChars="197"/>
        <w:textAlignment w:val="auto"/>
        <w:rPr>
          <w:sz w:val="21"/>
          <w:szCs w:val="21"/>
        </w:rPr>
      </w:pPr>
      <w:r>
        <w:rPr>
          <w:spacing w:val="-4"/>
          <w:sz w:val="21"/>
          <w:szCs w:val="21"/>
        </w:rPr>
        <w:t>4.工程主要技术标准：</w:t>
      </w:r>
      <w:r>
        <w:rPr>
          <w:spacing w:val="-4"/>
          <w:sz w:val="21"/>
          <w:szCs w:val="21"/>
          <w:u w:val="single" w:color="auto"/>
        </w:rPr>
        <w:t>符合国家、广西壮族自治区及南宁市</w:t>
      </w:r>
      <w:r>
        <w:rPr>
          <w:spacing w:val="-5"/>
          <w:sz w:val="21"/>
          <w:szCs w:val="21"/>
          <w:u w:val="single" w:color="auto"/>
        </w:rPr>
        <w:t>现行的设计规范、验收标准及强</w:t>
      </w:r>
      <w:r>
        <w:rPr>
          <w:sz w:val="21"/>
          <w:szCs w:val="21"/>
        </w:rPr>
        <w:t xml:space="preserve"> </w:t>
      </w:r>
      <w:r>
        <w:rPr>
          <w:spacing w:val="-1"/>
          <w:sz w:val="21"/>
          <w:szCs w:val="21"/>
          <w:u w:val="single" w:color="auto"/>
        </w:rPr>
        <w:t>制性标准条文</w:t>
      </w:r>
      <w:r>
        <w:rPr>
          <w:spacing w:val="-1"/>
          <w:sz w:val="21"/>
          <w:szCs w:val="21"/>
        </w:rPr>
        <w:t>。</w:t>
      </w:r>
    </w:p>
    <w:p>
      <w:pPr>
        <w:pStyle w:val="11"/>
        <w:keepNext w:val="0"/>
        <w:keepLines w:val="0"/>
        <w:pageBreakBefore w:val="0"/>
        <w:widowControl/>
        <w:kinsoku/>
        <w:wordWrap/>
        <w:overflowPunct/>
        <w:topLinePunct w:val="0"/>
        <w:autoSpaceDE/>
        <w:autoSpaceDN/>
        <w:bidi w:val="0"/>
        <w:adjustRightInd/>
        <w:snapToGrid/>
        <w:spacing w:before="30" w:line="240" w:lineRule="auto"/>
        <w:ind w:left="441" w:right="4189" w:firstLine="0"/>
        <w:textAlignment w:val="auto"/>
        <w:rPr>
          <w:sz w:val="21"/>
          <w:szCs w:val="21"/>
        </w:rPr>
      </w:pPr>
      <w:r>
        <w:rPr>
          <w:spacing w:val="-4"/>
          <w:sz w:val="21"/>
          <w:szCs w:val="21"/>
        </w:rPr>
        <w:t>5.投资估算：建安费约</w:t>
      </w:r>
      <w:r>
        <w:rPr>
          <w:spacing w:val="-103"/>
          <w:sz w:val="21"/>
          <w:szCs w:val="21"/>
        </w:rPr>
        <w:t xml:space="preserve"> </w:t>
      </w:r>
      <w:r>
        <w:rPr>
          <w:spacing w:val="8"/>
          <w:sz w:val="21"/>
          <w:szCs w:val="21"/>
          <w:u w:val="single" w:color="auto"/>
        </w:rPr>
        <w:t xml:space="preserve">            </w:t>
      </w:r>
      <w:r>
        <w:rPr>
          <w:spacing w:val="-85"/>
          <w:sz w:val="21"/>
          <w:szCs w:val="21"/>
        </w:rPr>
        <w:t xml:space="preserve"> </w:t>
      </w:r>
      <w:r>
        <w:rPr>
          <w:spacing w:val="-4"/>
          <w:sz w:val="21"/>
          <w:szCs w:val="21"/>
        </w:rPr>
        <w:t>万元。</w:t>
      </w:r>
      <w:r>
        <w:rPr>
          <w:spacing w:val="-3"/>
          <w:sz w:val="21"/>
          <w:szCs w:val="21"/>
        </w:rPr>
        <w:t>6.工程批准、核准或备案文号：</w:t>
      </w:r>
    </w:p>
    <w:p>
      <w:pPr>
        <w:pStyle w:val="11"/>
        <w:keepNext w:val="0"/>
        <w:keepLines w:val="0"/>
        <w:pageBreakBefore w:val="0"/>
        <w:widowControl/>
        <w:kinsoku/>
        <w:wordWrap/>
        <w:overflowPunct/>
        <w:topLinePunct w:val="0"/>
        <w:autoSpaceDE/>
        <w:autoSpaceDN/>
        <w:bidi w:val="0"/>
        <w:adjustRightInd/>
        <w:snapToGrid/>
        <w:spacing w:before="27" w:line="240" w:lineRule="auto"/>
        <w:ind w:left="26" w:right="2" w:firstLine="0"/>
        <w:textAlignment w:val="auto"/>
        <w:rPr>
          <w:sz w:val="21"/>
          <w:szCs w:val="21"/>
        </w:rPr>
      </w:pPr>
      <w:r>
        <w:rPr>
          <w:spacing w:val="-1"/>
          <w:sz w:val="21"/>
          <w:szCs w:val="21"/>
        </w:rPr>
        <w:t>7.工程进度安排：中标人应在</w:t>
      </w:r>
      <w:r>
        <w:rPr>
          <w:spacing w:val="-1"/>
          <w:sz w:val="21"/>
          <w:szCs w:val="21"/>
          <w:u w:val="single" w:color="auto"/>
        </w:rPr>
        <w:t xml:space="preserve">   日</w:t>
      </w:r>
      <w:r>
        <w:rPr>
          <w:spacing w:val="-1"/>
          <w:sz w:val="21"/>
          <w:szCs w:val="21"/>
        </w:rPr>
        <w:t>历日内完成方案设计</w:t>
      </w:r>
      <w:r>
        <w:rPr>
          <w:spacing w:val="-2"/>
          <w:sz w:val="21"/>
          <w:szCs w:val="21"/>
        </w:rPr>
        <w:t>、可行性研究报告编制、初步设计</w:t>
      </w:r>
      <w:r>
        <w:rPr>
          <w:sz w:val="21"/>
          <w:szCs w:val="21"/>
        </w:rPr>
        <w:t xml:space="preserve"> </w:t>
      </w:r>
      <w:r>
        <w:rPr>
          <w:spacing w:val="-1"/>
          <w:sz w:val="21"/>
          <w:szCs w:val="21"/>
        </w:rPr>
        <w:t>（含概算）及施工图设计（含预算）工作。</w:t>
      </w:r>
    </w:p>
    <w:p>
      <w:pPr>
        <w:pStyle w:val="11"/>
        <w:spacing w:before="97" w:line="218" w:lineRule="auto"/>
        <w:ind w:left="439"/>
        <w:rPr>
          <w:sz w:val="21"/>
          <w:szCs w:val="21"/>
        </w:rPr>
      </w:pPr>
      <w:r>
        <w:rPr>
          <w:spacing w:val="-3"/>
          <w:sz w:val="21"/>
          <w:szCs w:val="21"/>
        </w:rPr>
        <w:t>①设计合同载明的计划开始设计之日起</w:t>
      </w:r>
      <w:r>
        <w:rPr>
          <w:spacing w:val="-36"/>
          <w:sz w:val="21"/>
          <w:szCs w:val="21"/>
        </w:rPr>
        <w:t xml:space="preserve"> </w:t>
      </w:r>
      <w:r>
        <w:rPr>
          <w:rFonts w:hint="eastAsia" w:eastAsia="宋体" w:cs="Times New Roman"/>
          <w:spacing w:val="-3"/>
          <w:sz w:val="21"/>
          <w:szCs w:val="21"/>
          <w:lang w:val="en-US" w:eastAsia="zh-CN"/>
        </w:rPr>
        <w:t>20</w:t>
      </w:r>
      <w:r>
        <w:rPr>
          <w:spacing w:val="-3"/>
          <w:sz w:val="21"/>
          <w:szCs w:val="21"/>
        </w:rPr>
        <w:t>日历天内完成方案设计；</w:t>
      </w:r>
    </w:p>
    <w:p>
      <w:pPr>
        <w:pStyle w:val="11"/>
        <w:spacing w:before="150" w:line="218" w:lineRule="auto"/>
        <w:ind w:left="438"/>
        <w:rPr>
          <w:sz w:val="21"/>
          <w:szCs w:val="21"/>
        </w:rPr>
      </w:pPr>
      <w:r>
        <w:rPr>
          <w:spacing w:val="-3"/>
          <w:sz w:val="21"/>
          <w:szCs w:val="21"/>
        </w:rPr>
        <w:t>②设计方案经相关部门批准后</w:t>
      </w:r>
      <w:r>
        <w:rPr>
          <w:rFonts w:hint="eastAsia"/>
          <w:spacing w:val="43"/>
          <w:sz w:val="21"/>
          <w:szCs w:val="21"/>
          <w:lang w:val="en-US" w:eastAsia="zh-CN"/>
        </w:rPr>
        <w:t>10</w:t>
      </w:r>
      <w:r>
        <w:rPr>
          <w:spacing w:val="-3"/>
          <w:sz w:val="21"/>
          <w:szCs w:val="21"/>
        </w:rPr>
        <w:t>日历天内完成初步设计；</w:t>
      </w:r>
    </w:p>
    <w:p>
      <w:pPr>
        <w:pStyle w:val="11"/>
        <w:spacing w:before="153" w:line="218" w:lineRule="auto"/>
        <w:ind w:left="438"/>
        <w:rPr>
          <w:sz w:val="21"/>
          <w:szCs w:val="21"/>
        </w:rPr>
      </w:pPr>
      <w:r>
        <w:rPr>
          <w:spacing w:val="-3"/>
          <w:sz w:val="21"/>
          <w:szCs w:val="21"/>
        </w:rPr>
        <w:t>③初步设计审查批准后</w:t>
      </w:r>
      <w:r>
        <w:rPr>
          <w:rFonts w:hint="eastAsia"/>
          <w:spacing w:val="43"/>
          <w:sz w:val="21"/>
          <w:szCs w:val="21"/>
          <w:lang w:val="en-US" w:eastAsia="zh-CN"/>
        </w:rPr>
        <w:t>15</w:t>
      </w:r>
      <w:r>
        <w:rPr>
          <w:spacing w:val="-3"/>
          <w:sz w:val="21"/>
          <w:szCs w:val="21"/>
        </w:rPr>
        <w:t>日历天内完成所有施工图设计；</w:t>
      </w:r>
    </w:p>
    <w:p>
      <w:pPr>
        <w:pStyle w:val="11"/>
        <w:spacing w:before="153" w:line="218" w:lineRule="auto"/>
        <w:ind w:left="438"/>
        <w:rPr>
          <w:sz w:val="21"/>
          <w:szCs w:val="21"/>
        </w:rPr>
      </w:pPr>
      <w:r>
        <w:rPr>
          <w:spacing w:val="-2"/>
          <w:sz w:val="21"/>
          <w:szCs w:val="21"/>
        </w:rPr>
        <w:t>④施工图设计经审查后</w:t>
      </w:r>
      <w:r>
        <w:rPr>
          <w:rFonts w:hint="eastAsia"/>
          <w:spacing w:val="22"/>
          <w:sz w:val="21"/>
          <w:szCs w:val="21"/>
          <w:lang w:val="en-US" w:eastAsia="zh-CN"/>
        </w:rPr>
        <w:t>5</w:t>
      </w:r>
      <w:r>
        <w:rPr>
          <w:spacing w:val="-2"/>
          <w:sz w:val="21"/>
          <w:szCs w:val="21"/>
        </w:rPr>
        <w:t>日历天内完成补充、修</w:t>
      </w:r>
      <w:r>
        <w:rPr>
          <w:spacing w:val="-3"/>
          <w:sz w:val="21"/>
          <w:szCs w:val="21"/>
        </w:rPr>
        <w:t>改；</w:t>
      </w:r>
    </w:p>
    <w:p>
      <w:pPr>
        <w:pStyle w:val="11"/>
        <w:spacing w:before="150" w:line="218" w:lineRule="auto"/>
        <w:ind w:left="438"/>
        <w:rPr>
          <w:sz w:val="21"/>
          <w:szCs w:val="21"/>
        </w:rPr>
      </w:pPr>
      <w:r>
        <w:rPr>
          <w:spacing w:val="-3"/>
          <w:sz w:val="21"/>
          <w:szCs w:val="21"/>
        </w:rPr>
        <w:t>⑤施工配合：从工程项目施工阶段开始至工程竣工验收（如本项目包含施</w:t>
      </w:r>
      <w:r>
        <w:rPr>
          <w:spacing w:val="-4"/>
          <w:sz w:val="21"/>
          <w:szCs w:val="21"/>
        </w:rPr>
        <w:t>工图设计）。</w:t>
      </w:r>
    </w:p>
    <w:p>
      <w:pPr>
        <w:pStyle w:val="11"/>
        <w:spacing w:before="90" w:line="221" w:lineRule="auto"/>
        <w:ind w:left="446"/>
        <w:rPr>
          <w:sz w:val="21"/>
          <w:szCs w:val="21"/>
        </w:rPr>
      </w:pPr>
      <w:r>
        <w:rPr>
          <w:b/>
          <w:bCs/>
          <w:spacing w:val="-3"/>
          <w:sz w:val="21"/>
          <w:szCs w:val="21"/>
        </w:rPr>
        <w:t>二、工程设计范围、阶段与服务内容</w:t>
      </w:r>
    </w:p>
    <w:p>
      <w:pPr>
        <w:pStyle w:val="11"/>
        <w:spacing w:before="68" w:line="221" w:lineRule="auto"/>
        <w:ind w:left="455"/>
        <w:rPr>
          <w:sz w:val="21"/>
          <w:szCs w:val="21"/>
        </w:rPr>
      </w:pPr>
      <w:r>
        <w:rPr>
          <w:spacing w:val="-3"/>
          <w:sz w:val="21"/>
          <w:szCs w:val="21"/>
        </w:rPr>
        <w:t>1.工程设计范围：</w:t>
      </w:r>
      <w:r>
        <w:rPr>
          <w:spacing w:val="1"/>
          <w:sz w:val="21"/>
          <w:szCs w:val="21"/>
          <w:u w:val="single" w:color="auto"/>
        </w:rPr>
        <w:t xml:space="preserve">                       </w:t>
      </w:r>
      <w:r>
        <w:rPr>
          <w:spacing w:val="-3"/>
          <w:sz w:val="21"/>
          <w:szCs w:val="21"/>
          <w:u w:val="single" w:color="auto"/>
        </w:rPr>
        <w:t>。</w:t>
      </w:r>
    </w:p>
    <w:p>
      <w:pPr>
        <w:pStyle w:val="11"/>
        <w:spacing w:before="190" w:line="221" w:lineRule="auto"/>
        <w:ind w:left="442"/>
        <w:rPr>
          <w:spacing w:val="-3"/>
          <w:sz w:val="21"/>
          <w:szCs w:val="21"/>
          <w:u w:val="single" w:color="auto"/>
        </w:rPr>
      </w:pPr>
      <w:r>
        <w:rPr>
          <w:spacing w:val="-3"/>
          <w:sz w:val="21"/>
          <w:szCs w:val="21"/>
        </w:rPr>
        <w:t>2.工程设计服务阶段：</w:t>
      </w:r>
      <w:r>
        <w:rPr>
          <w:spacing w:val="-3"/>
          <w:sz w:val="21"/>
          <w:szCs w:val="21"/>
          <w:u w:val="single" w:color="auto"/>
        </w:rPr>
        <w:t xml:space="preserve"> 方案设计、初步设计（含概算）、施工图设计（含预算）</w:t>
      </w:r>
      <w:r>
        <w:rPr>
          <w:spacing w:val="30"/>
          <w:sz w:val="21"/>
          <w:szCs w:val="21"/>
          <w:u w:val="single" w:color="auto"/>
        </w:rPr>
        <w:t xml:space="preserve"> </w:t>
      </w:r>
      <w:r>
        <w:rPr>
          <w:spacing w:val="-3"/>
          <w:sz w:val="21"/>
          <w:szCs w:val="21"/>
          <w:u w:val="single" w:color="auto"/>
        </w:rPr>
        <w:t>。</w:t>
      </w:r>
    </w:p>
    <w:p>
      <w:pPr>
        <w:pStyle w:val="11"/>
        <w:keepNext w:val="0"/>
        <w:keepLines w:val="0"/>
        <w:pageBreakBefore w:val="0"/>
        <w:widowControl/>
        <w:kinsoku/>
        <w:wordWrap/>
        <w:overflowPunct/>
        <w:topLinePunct w:val="0"/>
        <w:autoSpaceDE/>
        <w:autoSpaceDN/>
        <w:bidi w:val="0"/>
        <w:adjustRightInd/>
        <w:snapToGrid/>
        <w:spacing w:before="0" w:line="221" w:lineRule="auto"/>
        <w:ind w:left="-266" w:right="-28" w:firstLine="0"/>
        <w:textAlignment w:val="auto"/>
        <w:rPr>
          <w:sz w:val="21"/>
          <w:szCs w:val="21"/>
        </w:rPr>
      </w:pPr>
      <w:r>
        <w:rPr>
          <w:spacing w:val="-3"/>
          <w:sz w:val="21"/>
          <w:szCs w:val="21"/>
        </w:rPr>
        <w:t>3.工程设计服务内容：</w:t>
      </w:r>
      <w:r>
        <w:rPr>
          <w:spacing w:val="-3"/>
          <w:sz w:val="21"/>
          <w:szCs w:val="21"/>
          <w:u w:val="single" w:color="auto"/>
        </w:rPr>
        <w:t>方案设计、初步设计（含概算）、施工图设计（含预算）以及施工</w:t>
      </w:r>
      <w:r>
        <w:rPr>
          <w:sz w:val="21"/>
          <w:szCs w:val="21"/>
          <w:u w:val="single" w:color="auto"/>
        </w:rPr>
        <w:t>全过程直至工程竣工验收合格的相关设计服务，以及各项报批配合、施工配合、验收配合</w:t>
      </w:r>
      <w:r>
        <w:rPr>
          <w:spacing w:val="-1"/>
          <w:sz w:val="21"/>
          <w:szCs w:val="21"/>
          <w:u w:val="single" w:color="auto"/>
        </w:rPr>
        <w:t>和工</w:t>
      </w:r>
      <w:r>
        <w:rPr>
          <w:sz w:val="21"/>
          <w:szCs w:val="21"/>
        </w:rPr>
        <w:t xml:space="preserve"> </w:t>
      </w:r>
      <w:r>
        <w:rPr>
          <w:sz w:val="21"/>
          <w:szCs w:val="21"/>
          <w:u w:val="single" w:color="auto"/>
        </w:rPr>
        <w:t>程期间的其他相关服务等一切与本工程有关的设计和服务等</w:t>
      </w:r>
      <w:r>
        <w:rPr>
          <w:spacing w:val="-1"/>
          <w:sz w:val="21"/>
          <w:szCs w:val="21"/>
          <w:u w:val="single" w:color="auto"/>
        </w:rPr>
        <w:t>工作。</w:t>
      </w:r>
    </w:p>
    <w:p>
      <w:pPr>
        <w:pStyle w:val="11"/>
        <w:spacing w:before="150" w:line="220" w:lineRule="auto"/>
        <w:ind w:left="442"/>
        <w:rPr>
          <w:sz w:val="21"/>
          <w:szCs w:val="21"/>
        </w:rPr>
      </w:pPr>
      <w:r>
        <w:rPr>
          <w:spacing w:val="-1"/>
          <w:sz w:val="21"/>
          <w:szCs w:val="21"/>
        </w:rPr>
        <w:t>工程设计范围、阶段与服务内容详见专用合同条款</w:t>
      </w:r>
      <w:r>
        <w:rPr>
          <w:spacing w:val="-2"/>
          <w:sz w:val="21"/>
          <w:szCs w:val="21"/>
        </w:rPr>
        <w:t>附件</w:t>
      </w:r>
      <w:r>
        <w:rPr>
          <w:spacing w:val="-28"/>
          <w:sz w:val="21"/>
          <w:szCs w:val="21"/>
        </w:rPr>
        <w:t xml:space="preserve"> </w:t>
      </w:r>
      <w:r>
        <w:rPr>
          <w:spacing w:val="-2"/>
          <w:sz w:val="21"/>
          <w:szCs w:val="21"/>
        </w:rPr>
        <w:t>1。</w:t>
      </w:r>
    </w:p>
    <w:p>
      <w:pPr>
        <w:pStyle w:val="11"/>
        <w:spacing w:before="69" w:line="221" w:lineRule="auto"/>
        <w:ind w:left="442"/>
        <w:rPr>
          <w:sz w:val="21"/>
          <w:szCs w:val="21"/>
        </w:rPr>
      </w:pPr>
      <w:r>
        <w:rPr>
          <w:b/>
          <w:bCs/>
          <w:spacing w:val="-3"/>
          <w:sz w:val="21"/>
          <w:szCs w:val="21"/>
        </w:rPr>
        <w:t>三、工程设计周期</w:t>
      </w:r>
    </w:p>
    <w:p>
      <w:pPr>
        <w:pStyle w:val="11"/>
        <w:spacing w:before="70" w:line="267" w:lineRule="auto"/>
        <w:ind w:left="-200" w:leftChars="0" w:right="3029" w:firstLine="13" w:firstLineChars="0"/>
        <w:rPr>
          <w:sz w:val="21"/>
          <w:szCs w:val="21"/>
        </w:rPr>
      </w:pPr>
      <w:r>
        <w:rPr>
          <w:spacing w:val="-6"/>
          <w:sz w:val="21"/>
          <w:szCs w:val="21"/>
        </w:rPr>
        <w:t>1.计划开始设计日期：</w:t>
      </w:r>
      <w:r>
        <w:rPr>
          <w:spacing w:val="1"/>
          <w:sz w:val="21"/>
          <w:szCs w:val="21"/>
          <w:u w:val="single" w:color="auto"/>
        </w:rPr>
        <w:t xml:space="preserve">          </w:t>
      </w:r>
      <w:r>
        <w:rPr>
          <w:spacing w:val="-96"/>
          <w:sz w:val="21"/>
          <w:szCs w:val="21"/>
        </w:rPr>
        <w:t xml:space="preserve"> </w:t>
      </w:r>
      <w:r>
        <w:rPr>
          <w:spacing w:val="-6"/>
          <w:sz w:val="21"/>
          <w:szCs w:val="21"/>
        </w:rPr>
        <w:t>年</w:t>
      </w:r>
      <w:r>
        <w:rPr>
          <w:spacing w:val="-6"/>
          <w:sz w:val="21"/>
          <w:szCs w:val="21"/>
          <w:u w:val="single" w:color="auto"/>
        </w:rPr>
        <w:t xml:space="preserve">      </w:t>
      </w:r>
      <w:r>
        <w:rPr>
          <w:spacing w:val="-91"/>
          <w:sz w:val="21"/>
          <w:szCs w:val="21"/>
        </w:rPr>
        <w:t xml:space="preserve"> </w:t>
      </w:r>
      <w:r>
        <w:rPr>
          <w:spacing w:val="-6"/>
          <w:sz w:val="21"/>
          <w:szCs w:val="21"/>
        </w:rPr>
        <w:t>月</w:t>
      </w:r>
      <w:r>
        <w:rPr>
          <w:spacing w:val="20"/>
          <w:sz w:val="21"/>
          <w:szCs w:val="21"/>
          <w:u w:val="single" w:color="auto"/>
        </w:rPr>
        <w:t xml:space="preserve">     </w:t>
      </w:r>
      <w:r>
        <w:rPr>
          <w:spacing w:val="-57"/>
          <w:sz w:val="21"/>
          <w:szCs w:val="21"/>
        </w:rPr>
        <w:t xml:space="preserve"> </w:t>
      </w:r>
      <w:r>
        <w:rPr>
          <w:spacing w:val="-6"/>
          <w:sz w:val="21"/>
          <w:szCs w:val="21"/>
        </w:rPr>
        <w:t>日。</w:t>
      </w:r>
      <w:r>
        <w:rPr>
          <w:sz w:val="21"/>
          <w:szCs w:val="21"/>
        </w:rPr>
        <w:t xml:space="preserve"> </w:t>
      </w:r>
    </w:p>
    <w:p>
      <w:pPr>
        <w:pStyle w:val="11"/>
        <w:spacing w:before="70" w:line="267" w:lineRule="auto"/>
        <w:ind w:left="-200" w:leftChars="0" w:right="3029" w:firstLine="13" w:firstLineChars="0"/>
        <w:rPr>
          <w:sz w:val="21"/>
          <w:szCs w:val="21"/>
        </w:rPr>
      </w:pPr>
      <w:r>
        <w:rPr>
          <w:spacing w:val="-5"/>
          <w:sz w:val="21"/>
          <w:szCs w:val="21"/>
        </w:rPr>
        <w:t>2.计划完成设计日期：</w:t>
      </w:r>
      <w:r>
        <w:rPr>
          <w:sz w:val="21"/>
          <w:szCs w:val="21"/>
          <w:u w:val="single" w:color="auto"/>
        </w:rPr>
        <w:t xml:space="preserve">          </w:t>
      </w:r>
      <w:r>
        <w:rPr>
          <w:spacing w:val="-94"/>
          <w:sz w:val="21"/>
          <w:szCs w:val="21"/>
        </w:rPr>
        <w:t xml:space="preserve"> </w:t>
      </w:r>
      <w:r>
        <w:rPr>
          <w:spacing w:val="-5"/>
          <w:sz w:val="21"/>
          <w:szCs w:val="21"/>
        </w:rPr>
        <w:t>年</w:t>
      </w:r>
      <w:r>
        <w:rPr>
          <w:spacing w:val="-5"/>
          <w:sz w:val="21"/>
          <w:szCs w:val="21"/>
          <w:u w:val="single" w:color="auto"/>
        </w:rPr>
        <w:t xml:space="preserve">      </w:t>
      </w:r>
      <w:r>
        <w:rPr>
          <w:spacing w:val="-91"/>
          <w:sz w:val="21"/>
          <w:szCs w:val="21"/>
        </w:rPr>
        <w:t xml:space="preserve"> </w:t>
      </w:r>
      <w:r>
        <w:rPr>
          <w:spacing w:val="-5"/>
          <w:sz w:val="21"/>
          <w:szCs w:val="21"/>
        </w:rPr>
        <w:t>月</w:t>
      </w:r>
      <w:r>
        <w:rPr>
          <w:spacing w:val="20"/>
          <w:sz w:val="21"/>
          <w:szCs w:val="21"/>
          <w:u w:val="single" w:color="auto"/>
        </w:rPr>
        <w:t xml:space="preserve">     </w:t>
      </w:r>
      <w:r>
        <w:rPr>
          <w:spacing w:val="-56"/>
          <w:sz w:val="21"/>
          <w:szCs w:val="21"/>
        </w:rPr>
        <w:t xml:space="preserve"> </w:t>
      </w:r>
      <w:r>
        <w:rPr>
          <w:spacing w:val="-5"/>
          <w:sz w:val="21"/>
          <w:szCs w:val="21"/>
        </w:rPr>
        <w:t>日。</w:t>
      </w:r>
    </w:p>
    <w:p>
      <w:pPr>
        <w:pStyle w:val="11"/>
        <w:spacing w:before="31" w:line="269" w:lineRule="auto"/>
        <w:ind w:left="0" w:leftChars="0" w:right="1560" w:firstLine="0" w:firstLineChars="0"/>
        <w:rPr>
          <w:sz w:val="21"/>
          <w:szCs w:val="21"/>
        </w:rPr>
      </w:pPr>
      <w:r>
        <w:rPr>
          <w:spacing w:val="-1"/>
          <w:sz w:val="21"/>
          <w:szCs w:val="21"/>
        </w:rPr>
        <w:t>3.实际日期按照发包人在《开始设计通知》中载明的开始设</w:t>
      </w:r>
      <w:r>
        <w:rPr>
          <w:spacing w:val="-2"/>
          <w:sz w:val="21"/>
          <w:szCs w:val="21"/>
        </w:rPr>
        <w:t>计日期为准。</w:t>
      </w:r>
      <w:r>
        <w:rPr>
          <w:sz w:val="21"/>
          <w:szCs w:val="21"/>
        </w:rPr>
        <w:t xml:space="preserve"> </w:t>
      </w:r>
      <w:r>
        <w:rPr>
          <w:spacing w:val="-1"/>
          <w:sz w:val="21"/>
          <w:szCs w:val="21"/>
        </w:rPr>
        <w:t>4.具体设计周期以专用合同条款及其附件的约定为准。</w:t>
      </w:r>
    </w:p>
    <w:p>
      <w:pPr>
        <w:pStyle w:val="11"/>
        <w:spacing w:before="29" w:line="219" w:lineRule="auto"/>
        <w:ind w:left="462"/>
        <w:rPr>
          <w:sz w:val="21"/>
          <w:szCs w:val="21"/>
        </w:rPr>
      </w:pPr>
      <w:r>
        <w:rPr>
          <w:b/>
          <w:bCs/>
          <w:spacing w:val="-4"/>
          <w:sz w:val="21"/>
          <w:szCs w:val="21"/>
        </w:rPr>
        <w:t>四、合同价格形式与签约合同价</w:t>
      </w:r>
    </w:p>
    <w:p>
      <w:pPr>
        <w:pStyle w:val="11"/>
        <w:spacing w:before="70" w:line="219" w:lineRule="auto"/>
        <w:ind w:left="455" w:leftChars="0" w:hanging="455" w:firstLineChars="0"/>
        <w:rPr>
          <w:sz w:val="21"/>
          <w:szCs w:val="21"/>
        </w:rPr>
      </w:pPr>
      <w:r>
        <w:rPr>
          <w:sz w:val="21"/>
          <w:szCs w:val="21"/>
        </w:rPr>
        <w:t>1.合同价格形式：</w:t>
      </w:r>
      <w:r>
        <w:rPr>
          <w:sz w:val="21"/>
          <w:szCs w:val="21"/>
          <w:u w:val="single" w:color="auto"/>
        </w:rPr>
        <w:t>下浮系数价格合同，下浮系数        %。</w:t>
      </w:r>
    </w:p>
    <w:p>
      <w:pPr>
        <w:pStyle w:val="11"/>
        <w:keepNext w:val="0"/>
        <w:keepLines w:val="0"/>
        <w:pageBreakBefore w:val="0"/>
        <w:widowControl/>
        <w:kinsoku/>
        <w:wordWrap/>
        <w:overflowPunct/>
        <w:topLinePunct w:val="0"/>
        <w:autoSpaceDE/>
        <w:autoSpaceDN/>
        <w:bidi w:val="0"/>
        <w:adjustRightInd/>
        <w:snapToGrid/>
        <w:spacing w:before="0" w:line="219" w:lineRule="auto"/>
        <w:ind w:left="0" w:right="0" w:firstLine="0"/>
        <w:textAlignment w:val="auto"/>
        <w:rPr>
          <w:spacing w:val="-2"/>
          <w:sz w:val="21"/>
          <w:szCs w:val="21"/>
        </w:rPr>
      </w:pPr>
      <w:r>
        <w:rPr>
          <w:spacing w:val="-2"/>
          <w:sz w:val="21"/>
          <w:szCs w:val="21"/>
        </w:rPr>
        <w:t>设计费=工程设计收费基准价×（1</w:t>
      </w:r>
      <w:r>
        <w:rPr>
          <w:rFonts w:hint="eastAsia"/>
          <w:spacing w:val="-2"/>
          <w:sz w:val="21"/>
          <w:szCs w:val="21"/>
          <w:lang w:val="en-US" w:eastAsia="zh-CN"/>
        </w:rPr>
        <w:t>-</w:t>
      </w:r>
      <w:r>
        <w:rPr>
          <w:spacing w:val="-2"/>
          <w:sz w:val="21"/>
          <w:szCs w:val="21"/>
        </w:rPr>
        <w:t>中标的下浮系数报价）【备注：本工程按《广西壮族自治区工程建设其他费用定额（桂建标[2018]37号)》、《工程勘察设计收费标准》（2002年修订版）标准，计算本工程设计收费基准价。其中工程专业调整系数取</w:t>
      </w:r>
      <w:r>
        <w:rPr>
          <w:rFonts w:hint="eastAsia"/>
          <w:spacing w:val="-2"/>
          <w:sz w:val="21"/>
          <w:szCs w:val="21"/>
          <w:lang w:val="en-US" w:eastAsia="zh-CN"/>
        </w:rPr>
        <w:t>1.0</w:t>
      </w:r>
      <w:r>
        <w:rPr>
          <w:spacing w:val="-2"/>
          <w:sz w:val="21"/>
          <w:szCs w:val="21"/>
        </w:rPr>
        <w:t>，工程复杂程度调整系数取</w:t>
      </w:r>
      <w:r>
        <w:rPr>
          <w:rFonts w:hint="eastAsia"/>
          <w:spacing w:val="-2"/>
          <w:sz w:val="21"/>
          <w:szCs w:val="21"/>
          <w:lang w:val="en-US" w:eastAsia="zh-CN"/>
        </w:rPr>
        <w:t>1.0</w:t>
      </w:r>
      <w:r>
        <w:rPr>
          <w:spacing w:val="-2"/>
          <w:sz w:val="21"/>
          <w:szCs w:val="21"/>
        </w:rPr>
        <w:t>，附加调整系数</w:t>
      </w:r>
      <w:r>
        <w:rPr>
          <w:rFonts w:hint="eastAsia"/>
          <w:spacing w:val="-2"/>
          <w:sz w:val="21"/>
          <w:szCs w:val="21"/>
          <w:lang w:val="en-US" w:eastAsia="zh-CN"/>
        </w:rPr>
        <w:t>1.0</w:t>
      </w:r>
      <w:r>
        <w:rPr>
          <w:spacing w:val="-2"/>
          <w:sz w:val="21"/>
          <w:szCs w:val="21"/>
        </w:rPr>
        <w:t>，施工图预算编制费按</w:t>
      </w:r>
      <w:r>
        <w:rPr>
          <w:rFonts w:hint="eastAsia"/>
          <w:spacing w:val="-2"/>
          <w:sz w:val="21"/>
          <w:szCs w:val="21"/>
          <w:lang w:val="en-US" w:eastAsia="zh-CN"/>
        </w:rPr>
        <w:t>5%</w:t>
      </w:r>
      <w:r>
        <w:rPr>
          <w:spacing w:val="-2"/>
          <w:sz w:val="21"/>
          <w:szCs w:val="21"/>
        </w:rPr>
        <w:t>收取，该费用已经包含方案设计、初步设计（投资概算）、施工图（含预算）、工程概算编制、规划技术审查费用的相关设 计服务及按上述合同条件、技术规范以中标下浮系数承包本项目招标范围内的设计工作的所有 内容费用及相关服务。</w:t>
      </w:r>
    </w:p>
    <w:p>
      <w:pPr>
        <w:pStyle w:val="11"/>
        <w:keepNext w:val="0"/>
        <w:keepLines w:val="0"/>
        <w:pageBreakBefore w:val="0"/>
        <w:widowControl/>
        <w:kinsoku/>
        <w:wordWrap/>
        <w:overflowPunct/>
        <w:topLinePunct w:val="0"/>
        <w:autoSpaceDE/>
        <w:autoSpaceDN/>
        <w:bidi w:val="0"/>
        <w:adjustRightInd/>
        <w:snapToGrid/>
        <w:spacing w:before="0" w:line="219" w:lineRule="auto"/>
        <w:ind w:left="0" w:right="0" w:firstLine="0"/>
        <w:textAlignment w:val="auto"/>
        <w:rPr>
          <w:spacing w:val="-2"/>
          <w:sz w:val="21"/>
          <w:szCs w:val="21"/>
        </w:rPr>
      </w:pPr>
      <w:r>
        <w:rPr>
          <w:spacing w:val="-2"/>
          <w:sz w:val="21"/>
          <w:szCs w:val="21"/>
        </w:rPr>
        <w:t>2.本合同价暂定含增值税价为：</w:t>
      </w:r>
      <w:r>
        <w:rPr>
          <w:spacing w:val="-2"/>
          <w:sz w:val="21"/>
          <w:szCs w:val="21"/>
          <w:u w:val="single"/>
        </w:rPr>
        <w:t xml:space="preserve">人民币（大写）              (¥:         ), 其中增值税 为人民币（大写）                   (¥      )  </w:t>
      </w:r>
      <w:r>
        <w:rPr>
          <w:rFonts w:hint="eastAsia"/>
          <w:spacing w:val="-2"/>
          <w:sz w:val="21"/>
          <w:szCs w:val="21"/>
          <w:u w:val="single"/>
          <w:lang w:eastAsia="zh-CN"/>
        </w:rPr>
        <w:t>，</w:t>
      </w:r>
      <w:r>
        <w:rPr>
          <w:spacing w:val="-2"/>
          <w:sz w:val="21"/>
          <w:szCs w:val="21"/>
          <w:u w:val="single"/>
        </w:rPr>
        <w:t>税率       % 。</w:t>
      </w:r>
    </w:p>
    <w:p>
      <w:pPr>
        <w:pStyle w:val="11"/>
        <w:spacing w:before="33" w:line="221" w:lineRule="auto"/>
        <w:ind w:left="446"/>
        <w:rPr>
          <w:sz w:val="21"/>
          <w:szCs w:val="21"/>
        </w:rPr>
      </w:pPr>
      <w:r>
        <w:rPr>
          <w:b/>
          <w:bCs/>
          <w:spacing w:val="-3"/>
          <w:sz w:val="21"/>
          <w:szCs w:val="21"/>
        </w:rPr>
        <w:t>五、发包人代表与设计人项目负责人</w:t>
      </w:r>
    </w:p>
    <w:p>
      <w:pPr>
        <w:pStyle w:val="11"/>
        <w:spacing w:before="70" w:line="221" w:lineRule="auto"/>
        <w:ind w:left="455"/>
        <w:rPr>
          <w:sz w:val="21"/>
          <w:szCs w:val="21"/>
        </w:rPr>
      </w:pPr>
      <w:r>
        <w:rPr>
          <w:spacing w:val="-3"/>
          <w:sz w:val="21"/>
          <w:szCs w:val="21"/>
        </w:rPr>
        <w:t>1. 发包人代表：</w:t>
      </w:r>
      <w:r>
        <w:rPr>
          <w:spacing w:val="4"/>
          <w:sz w:val="21"/>
          <w:szCs w:val="21"/>
          <w:u w:val="single" w:color="auto"/>
        </w:rPr>
        <w:t xml:space="preserve">                         </w:t>
      </w:r>
      <w:r>
        <w:rPr>
          <w:spacing w:val="3"/>
          <w:sz w:val="21"/>
          <w:szCs w:val="21"/>
          <w:u w:val="single" w:color="auto"/>
        </w:rPr>
        <w:t xml:space="preserve">    </w:t>
      </w:r>
      <w:r>
        <w:rPr>
          <w:spacing w:val="-3"/>
          <w:sz w:val="21"/>
          <w:szCs w:val="21"/>
        </w:rPr>
        <w:t xml:space="preserve"> 。</w:t>
      </w:r>
    </w:p>
    <w:p>
      <w:pPr>
        <w:pStyle w:val="11"/>
        <w:spacing w:before="67" w:line="221" w:lineRule="auto"/>
        <w:ind w:left="442"/>
        <w:rPr>
          <w:sz w:val="21"/>
          <w:szCs w:val="21"/>
        </w:rPr>
      </w:pPr>
      <w:r>
        <w:rPr>
          <w:sz w:val="21"/>
          <w:szCs w:val="21"/>
        </w:rPr>
        <w:t>2. 设计项目负责人：</w:t>
      </w:r>
      <w:r>
        <w:rPr>
          <w:sz w:val="21"/>
          <w:szCs w:val="21"/>
          <w:u w:val="single" w:color="auto"/>
        </w:rPr>
        <w:t xml:space="preserve">                      </w:t>
      </w:r>
      <w:r>
        <w:rPr>
          <w:spacing w:val="-1"/>
          <w:sz w:val="21"/>
          <w:szCs w:val="21"/>
          <w:u w:val="single" w:color="auto"/>
        </w:rPr>
        <w:t xml:space="preserve">         </w:t>
      </w:r>
      <w:r>
        <w:rPr>
          <w:spacing w:val="-1"/>
          <w:sz w:val="21"/>
          <w:szCs w:val="21"/>
        </w:rPr>
        <w:t>。</w:t>
      </w:r>
    </w:p>
    <w:p>
      <w:pPr>
        <w:pStyle w:val="11"/>
        <w:spacing w:before="68" w:line="221" w:lineRule="auto"/>
        <w:ind w:left="444"/>
        <w:rPr>
          <w:sz w:val="21"/>
          <w:szCs w:val="21"/>
        </w:rPr>
      </w:pPr>
      <w:r>
        <w:rPr>
          <w:b/>
          <w:bCs/>
          <w:spacing w:val="-3"/>
          <w:sz w:val="21"/>
          <w:szCs w:val="21"/>
        </w:rPr>
        <w:t>六、合同文件构成</w:t>
      </w:r>
    </w:p>
    <w:p>
      <w:pPr>
        <w:pStyle w:val="11"/>
        <w:spacing w:before="71" w:line="220" w:lineRule="auto"/>
        <w:ind w:left="455"/>
        <w:rPr>
          <w:sz w:val="21"/>
          <w:szCs w:val="21"/>
        </w:rPr>
      </w:pPr>
      <w:r>
        <w:rPr>
          <w:spacing w:val="-1"/>
          <w:sz w:val="21"/>
          <w:szCs w:val="21"/>
        </w:rPr>
        <w:t>1. 本协议书与下列文件一起构成合同文件：</w:t>
      </w:r>
    </w:p>
    <w:p>
      <w:pPr>
        <w:pStyle w:val="11"/>
        <w:spacing w:before="68" w:line="221" w:lineRule="auto"/>
        <w:ind w:left="446"/>
        <w:rPr>
          <w:sz w:val="21"/>
          <w:szCs w:val="21"/>
        </w:rPr>
      </w:pPr>
      <w:r>
        <w:rPr>
          <w:spacing w:val="-2"/>
          <w:sz w:val="21"/>
          <w:szCs w:val="21"/>
        </w:rPr>
        <w:t>（1）专用合同条款；</w:t>
      </w:r>
    </w:p>
    <w:p>
      <w:pPr>
        <w:pStyle w:val="11"/>
        <w:spacing w:before="68" w:line="221" w:lineRule="auto"/>
        <w:ind w:left="446"/>
        <w:rPr>
          <w:sz w:val="21"/>
          <w:szCs w:val="21"/>
        </w:rPr>
      </w:pPr>
      <w:r>
        <w:rPr>
          <w:spacing w:val="-4"/>
          <w:sz w:val="21"/>
          <w:szCs w:val="21"/>
        </w:rPr>
        <w:t>（2）通用合同条款；</w:t>
      </w:r>
    </w:p>
    <w:p>
      <w:pPr>
        <w:pStyle w:val="11"/>
        <w:spacing w:before="70" w:line="221" w:lineRule="auto"/>
        <w:ind w:left="446"/>
        <w:rPr>
          <w:sz w:val="21"/>
          <w:szCs w:val="21"/>
        </w:rPr>
      </w:pPr>
      <w:r>
        <w:rPr>
          <w:spacing w:val="-1"/>
          <w:sz w:val="21"/>
          <w:szCs w:val="21"/>
        </w:rPr>
        <w:t>（3）工程设计范围、阶段与服务内容；</w:t>
      </w:r>
    </w:p>
    <w:p>
      <w:pPr>
        <w:pStyle w:val="11"/>
        <w:spacing w:before="68" w:line="221" w:lineRule="auto"/>
        <w:ind w:left="446"/>
        <w:rPr>
          <w:sz w:val="21"/>
          <w:szCs w:val="21"/>
        </w:rPr>
      </w:pPr>
      <w:r>
        <w:rPr>
          <w:spacing w:val="-1"/>
          <w:sz w:val="21"/>
          <w:szCs w:val="21"/>
        </w:rPr>
        <w:t>（4）发包人向设计人提交的有关资料及文件一览表</w:t>
      </w:r>
    </w:p>
    <w:p>
      <w:pPr>
        <w:pStyle w:val="11"/>
        <w:spacing w:before="68" w:line="221" w:lineRule="auto"/>
        <w:ind w:left="446"/>
        <w:rPr>
          <w:sz w:val="21"/>
          <w:szCs w:val="21"/>
        </w:rPr>
      </w:pPr>
      <w:r>
        <w:rPr>
          <w:spacing w:val="-1"/>
          <w:sz w:val="21"/>
          <w:szCs w:val="21"/>
        </w:rPr>
        <w:t>（5）设计人向发包人交付的工程设计文件目录</w:t>
      </w:r>
    </w:p>
    <w:p>
      <w:pPr>
        <w:pStyle w:val="11"/>
        <w:spacing w:before="71" w:line="222" w:lineRule="auto"/>
        <w:ind w:left="446"/>
        <w:rPr>
          <w:sz w:val="21"/>
          <w:szCs w:val="21"/>
        </w:rPr>
      </w:pPr>
      <w:r>
        <w:rPr>
          <w:spacing w:val="-1"/>
          <w:sz w:val="21"/>
          <w:szCs w:val="21"/>
        </w:rPr>
        <w:t>（6）设计人主要设计人员表</w:t>
      </w:r>
    </w:p>
    <w:p>
      <w:pPr>
        <w:pStyle w:val="11"/>
        <w:spacing w:before="67" w:line="221" w:lineRule="auto"/>
        <w:ind w:left="446"/>
        <w:rPr>
          <w:sz w:val="21"/>
          <w:szCs w:val="21"/>
        </w:rPr>
      </w:pPr>
      <w:r>
        <w:rPr>
          <w:spacing w:val="-1"/>
          <w:sz w:val="21"/>
          <w:szCs w:val="21"/>
        </w:rPr>
        <w:t>（</w:t>
      </w:r>
      <w:r>
        <w:rPr>
          <w:rFonts w:hint="eastAsia"/>
          <w:spacing w:val="-1"/>
          <w:sz w:val="21"/>
          <w:szCs w:val="21"/>
          <w:lang w:val="en-US" w:eastAsia="zh-CN"/>
        </w:rPr>
        <w:t>7</w:t>
      </w:r>
      <w:r>
        <w:rPr>
          <w:spacing w:val="-1"/>
          <w:sz w:val="21"/>
          <w:szCs w:val="21"/>
        </w:rPr>
        <w:t>）设计费明细及支付方式</w:t>
      </w:r>
    </w:p>
    <w:p>
      <w:pPr>
        <w:pStyle w:val="11"/>
        <w:spacing w:before="70" w:line="220" w:lineRule="auto"/>
        <w:ind w:left="446"/>
        <w:rPr>
          <w:sz w:val="21"/>
          <w:szCs w:val="21"/>
        </w:rPr>
      </w:pPr>
      <w:r>
        <w:rPr>
          <w:spacing w:val="-2"/>
          <w:sz w:val="21"/>
          <w:szCs w:val="21"/>
        </w:rPr>
        <w:t>（</w:t>
      </w:r>
      <w:r>
        <w:rPr>
          <w:rFonts w:hint="eastAsia"/>
          <w:spacing w:val="-2"/>
          <w:sz w:val="21"/>
          <w:szCs w:val="21"/>
          <w:lang w:val="en-US" w:eastAsia="zh-CN"/>
        </w:rPr>
        <w:t>8</w:t>
      </w:r>
      <w:r>
        <w:rPr>
          <w:spacing w:val="-2"/>
          <w:sz w:val="21"/>
          <w:szCs w:val="21"/>
        </w:rPr>
        <w:t>）设计变更计费依据和方法</w:t>
      </w:r>
    </w:p>
    <w:p>
      <w:pPr>
        <w:pStyle w:val="11"/>
        <w:spacing w:before="70" w:line="220" w:lineRule="auto"/>
        <w:ind w:left="446"/>
        <w:rPr>
          <w:sz w:val="21"/>
          <w:szCs w:val="21"/>
        </w:rPr>
      </w:pPr>
      <w:r>
        <w:rPr>
          <w:spacing w:val="-2"/>
          <w:sz w:val="21"/>
          <w:szCs w:val="21"/>
        </w:rPr>
        <w:t>（</w:t>
      </w:r>
      <w:r>
        <w:rPr>
          <w:rFonts w:hint="eastAsia"/>
          <w:spacing w:val="-2"/>
          <w:sz w:val="21"/>
          <w:szCs w:val="21"/>
          <w:lang w:val="en-US" w:eastAsia="zh-CN"/>
        </w:rPr>
        <w:t>9</w:t>
      </w:r>
      <w:r>
        <w:rPr>
          <w:spacing w:val="-2"/>
          <w:sz w:val="21"/>
          <w:szCs w:val="21"/>
        </w:rPr>
        <w:t>）中</w:t>
      </w:r>
      <w:r>
        <w:rPr>
          <w:rFonts w:hint="eastAsia"/>
          <w:spacing w:val="-2"/>
          <w:sz w:val="21"/>
          <w:szCs w:val="21"/>
          <w:lang w:val="en-US" w:eastAsia="zh-CN"/>
        </w:rPr>
        <w:t>选</w:t>
      </w:r>
      <w:r>
        <w:rPr>
          <w:spacing w:val="-2"/>
          <w:sz w:val="21"/>
          <w:szCs w:val="21"/>
        </w:rPr>
        <w:t>通知书</w:t>
      </w:r>
    </w:p>
    <w:p>
      <w:pPr>
        <w:pStyle w:val="11"/>
        <w:spacing w:before="68" w:line="220" w:lineRule="auto"/>
        <w:ind w:left="446"/>
        <w:rPr>
          <w:sz w:val="21"/>
          <w:szCs w:val="21"/>
        </w:rPr>
      </w:pPr>
      <w:r>
        <w:rPr>
          <w:spacing w:val="-2"/>
          <w:sz w:val="21"/>
          <w:szCs w:val="21"/>
        </w:rPr>
        <w:t>（1</w:t>
      </w:r>
      <w:r>
        <w:rPr>
          <w:rFonts w:hint="eastAsia"/>
          <w:spacing w:val="-2"/>
          <w:sz w:val="21"/>
          <w:szCs w:val="21"/>
          <w:lang w:val="en-US" w:eastAsia="zh-CN"/>
        </w:rPr>
        <w:t>0</w:t>
      </w:r>
      <w:r>
        <w:rPr>
          <w:spacing w:val="-2"/>
          <w:sz w:val="21"/>
          <w:szCs w:val="21"/>
        </w:rPr>
        <w:t>）投标函及附录</w:t>
      </w:r>
    </w:p>
    <w:p>
      <w:pPr>
        <w:pStyle w:val="11"/>
        <w:spacing w:before="68" w:line="220" w:lineRule="auto"/>
        <w:ind w:left="446"/>
        <w:rPr>
          <w:sz w:val="21"/>
          <w:szCs w:val="21"/>
        </w:rPr>
      </w:pPr>
      <w:r>
        <w:rPr>
          <w:spacing w:val="-1"/>
          <w:sz w:val="21"/>
          <w:szCs w:val="21"/>
        </w:rPr>
        <w:t>（</w:t>
      </w:r>
      <w:r>
        <w:rPr>
          <w:rFonts w:hint="eastAsia"/>
          <w:spacing w:val="-1"/>
          <w:sz w:val="21"/>
          <w:szCs w:val="21"/>
          <w:lang w:val="en-US" w:eastAsia="zh-CN"/>
        </w:rPr>
        <w:t>11</w:t>
      </w:r>
      <w:r>
        <w:rPr>
          <w:spacing w:val="-1"/>
          <w:sz w:val="21"/>
          <w:szCs w:val="21"/>
        </w:rPr>
        <w:t>）相关资质证明（营业执照、资质证书）</w:t>
      </w:r>
    </w:p>
    <w:p>
      <w:pPr>
        <w:pStyle w:val="11"/>
        <w:spacing w:before="68" w:line="221" w:lineRule="auto"/>
        <w:ind w:left="446"/>
        <w:rPr>
          <w:sz w:val="21"/>
          <w:szCs w:val="21"/>
        </w:rPr>
      </w:pPr>
      <w:r>
        <w:rPr>
          <w:spacing w:val="-1"/>
          <w:sz w:val="21"/>
          <w:szCs w:val="21"/>
        </w:rPr>
        <w:t>（</w:t>
      </w:r>
      <w:r>
        <w:rPr>
          <w:rFonts w:hint="eastAsia"/>
          <w:spacing w:val="-1"/>
          <w:sz w:val="21"/>
          <w:szCs w:val="21"/>
          <w:lang w:val="en-US" w:eastAsia="zh-CN"/>
        </w:rPr>
        <w:t>12</w:t>
      </w:r>
      <w:r>
        <w:rPr>
          <w:spacing w:val="-1"/>
          <w:sz w:val="21"/>
          <w:szCs w:val="21"/>
        </w:rPr>
        <w:t>）其他合同文件。</w:t>
      </w:r>
    </w:p>
    <w:p>
      <w:pPr>
        <w:pStyle w:val="11"/>
        <w:spacing w:before="71" w:line="267" w:lineRule="auto"/>
        <w:ind w:left="37" w:right="67" w:firstLine="405"/>
        <w:rPr>
          <w:sz w:val="21"/>
          <w:szCs w:val="21"/>
        </w:rPr>
      </w:pPr>
      <w:r>
        <w:rPr>
          <w:sz w:val="21"/>
          <w:szCs w:val="21"/>
        </w:rPr>
        <w:t>2.上述合同文件互相补充和解释。如果合同文件之间存在矛盾或不一致之处，</w:t>
      </w:r>
      <w:r>
        <w:rPr>
          <w:spacing w:val="-1"/>
          <w:sz w:val="21"/>
          <w:szCs w:val="21"/>
        </w:rPr>
        <w:t>以上述文件</w:t>
      </w:r>
      <w:r>
        <w:rPr>
          <w:sz w:val="21"/>
          <w:szCs w:val="21"/>
        </w:rPr>
        <w:t xml:space="preserve"> </w:t>
      </w:r>
      <w:r>
        <w:rPr>
          <w:spacing w:val="-4"/>
          <w:sz w:val="21"/>
          <w:szCs w:val="21"/>
        </w:rPr>
        <w:t>的排列顺序在先者为准。</w:t>
      </w:r>
    </w:p>
    <w:p>
      <w:pPr>
        <w:pStyle w:val="11"/>
        <w:spacing w:before="31" w:line="269" w:lineRule="auto"/>
        <w:ind w:left="22" w:right="67" w:firstLine="421"/>
        <w:rPr>
          <w:sz w:val="21"/>
          <w:szCs w:val="21"/>
        </w:rPr>
      </w:pPr>
      <w:r>
        <w:rPr>
          <w:sz w:val="21"/>
          <w:szCs w:val="21"/>
        </w:rPr>
        <w:t>3.上述各项合同文件包括合同当事人就该项合同文件所作出的补充和修改</w:t>
      </w:r>
      <w:r>
        <w:rPr>
          <w:spacing w:val="-1"/>
          <w:sz w:val="21"/>
          <w:szCs w:val="21"/>
        </w:rPr>
        <w:t>，属于同一类内</w:t>
      </w:r>
      <w:r>
        <w:rPr>
          <w:sz w:val="21"/>
          <w:szCs w:val="21"/>
        </w:rPr>
        <w:t xml:space="preserve"> </w:t>
      </w:r>
      <w:r>
        <w:rPr>
          <w:spacing w:val="-1"/>
          <w:sz w:val="21"/>
          <w:szCs w:val="21"/>
        </w:rPr>
        <w:t>容的文件，应以最新签署的为准。</w:t>
      </w:r>
    </w:p>
    <w:p>
      <w:pPr>
        <w:pStyle w:val="11"/>
        <w:spacing w:before="29" w:line="221" w:lineRule="auto"/>
        <w:ind w:left="441"/>
        <w:rPr>
          <w:sz w:val="21"/>
          <w:szCs w:val="21"/>
        </w:rPr>
      </w:pPr>
      <w:r>
        <w:rPr>
          <w:b/>
          <w:bCs/>
          <w:spacing w:val="-2"/>
          <w:sz w:val="21"/>
          <w:szCs w:val="21"/>
        </w:rPr>
        <w:t>七、质量标准和要求</w:t>
      </w:r>
    </w:p>
    <w:p>
      <w:pPr>
        <w:pStyle w:val="11"/>
        <w:spacing w:before="69" w:line="269" w:lineRule="auto"/>
        <w:ind w:left="22" w:right="67" w:firstLine="421"/>
        <w:rPr>
          <w:sz w:val="21"/>
          <w:szCs w:val="21"/>
        </w:rPr>
      </w:pPr>
      <w:r>
        <w:rPr>
          <w:sz w:val="21"/>
          <w:szCs w:val="21"/>
        </w:rPr>
        <w:t>设计工作质量符合的标准和要求：</w:t>
      </w:r>
      <w:r>
        <w:rPr>
          <w:sz w:val="21"/>
          <w:szCs w:val="21"/>
          <w:u w:val="single" w:color="auto"/>
        </w:rPr>
        <w:t>符合国家规定的工程技术质量标准、设计</w:t>
      </w:r>
      <w:r>
        <w:rPr>
          <w:spacing w:val="-1"/>
          <w:sz w:val="21"/>
          <w:szCs w:val="21"/>
          <w:u w:val="single" w:color="auto"/>
        </w:rPr>
        <w:t>深度标准、技</w:t>
      </w:r>
      <w:r>
        <w:rPr>
          <w:sz w:val="21"/>
          <w:szCs w:val="21"/>
        </w:rPr>
        <w:t xml:space="preserve"> </w:t>
      </w:r>
      <w:r>
        <w:rPr>
          <w:sz w:val="21"/>
          <w:szCs w:val="21"/>
          <w:u w:val="single" w:color="auto"/>
        </w:rPr>
        <w:t>术规范及规程要求，并通过有关行政主管部门审</w:t>
      </w:r>
      <w:r>
        <w:rPr>
          <w:spacing w:val="-1"/>
          <w:sz w:val="21"/>
          <w:szCs w:val="21"/>
          <w:u w:val="single" w:color="auto"/>
        </w:rPr>
        <w:t>批或备案</w:t>
      </w:r>
      <w:r>
        <w:rPr>
          <w:spacing w:val="-1"/>
          <w:sz w:val="21"/>
          <w:szCs w:val="21"/>
        </w:rPr>
        <w:t>。</w:t>
      </w:r>
    </w:p>
    <w:p>
      <w:pPr>
        <w:pStyle w:val="11"/>
        <w:spacing w:before="28" w:line="221" w:lineRule="auto"/>
        <w:ind w:left="446"/>
        <w:rPr>
          <w:sz w:val="21"/>
          <w:szCs w:val="21"/>
        </w:rPr>
      </w:pPr>
      <w:r>
        <w:rPr>
          <w:b/>
          <w:bCs/>
          <w:spacing w:val="-4"/>
          <w:sz w:val="21"/>
          <w:szCs w:val="21"/>
        </w:rPr>
        <w:t>八、承诺</w:t>
      </w:r>
    </w:p>
    <w:p>
      <w:pPr>
        <w:pStyle w:val="11"/>
        <w:spacing w:before="67" w:line="269" w:lineRule="auto"/>
        <w:ind w:left="25" w:right="67" w:firstLine="430"/>
        <w:rPr>
          <w:sz w:val="21"/>
          <w:szCs w:val="21"/>
        </w:rPr>
      </w:pPr>
      <w:r>
        <w:rPr>
          <w:sz w:val="21"/>
          <w:szCs w:val="21"/>
        </w:rPr>
        <w:t>1.发包人承诺按照法律规定履行项目审批手续，</w:t>
      </w:r>
      <w:r>
        <w:rPr>
          <w:spacing w:val="-1"/>
          <w:sz w:val="21"/>
          <w:szCs w:val="21"/>
        </w:rPr>
        <w:t>按照合同约定提供设计依据，并按合同约</w:t>
      </w:r>
      <w:r>
        <w:rPr>
          <w:sz w:val="21"/>
          <w:szCs w:val="21"/>
        </w:rPr>
        <w:t xml:space="preserve"> </w:t>
      </w:r>
      <w:r>
        <w:rPr>
          <w:spacing w:val="-1"/>
          <w:sz w:val="21"/>
          <w:szCs w:val="21"/>
        </w:rPr>
        <w:t>定的条件、期限和方式支付合同价款。</w:t>
      </w:r>
    </w:p>
    <w:p>
      <w:pPr>
        <w:pStyle w:val="11"/>
        <w:spacing w:before="29" w:line="220" w:lineRule="auto"/>
        <w:ind w:left="442"/>
        <w:rPr>
          <w:sz w:val="21"/>
          <w:szCs w:val="21"/>
        </w:rPr>
      </w:pPr>
      <w:r>
        <w:rPr>
          <w:spacing w:val="-1"/>
          <w:sz w:val="21"/>
          <w:szCs w:val="21"/>
        </w:rPr>
        <w:t>2.设计人承诺按照法律和技术标准规定及合同约定提供工程设计服务。</w:t>
      </w:r>
    </w:p>
    <w:p>
      <w:pPr>
        <w:pStyle w:val="11"/>
        <w:spacing w:before="69" w:line="221" w:lineRule="auto"/>
        <w:ind w:left="447"/>
        <w:rPr>
          <w:sz w:val="21"/>
          <w:szCs w:val="21"/>
        </w:rPr>
      </w:pPr>
      <w:r>
        <w:rPr>
          <w:b/>
          <w:bCs/>
          <w:spacing w:val="-4"/>
          <w:sz w:val="21"/>
          <w:szCs w:val="21"/>
        </w:rPr>
        <w:t>九、词语含义</w:t>
      </w:r>
    </w:p>
    <w:p>
      <w:pPr>
        <w:pStyle w:val="11"/>
        <w:spacing w:before="71" w:line="220" w:lineRule="auto"/>
        <w:ind w:left="441"/>
        <w:rPr>
          <w:sz w:val="21"/>
          <w:szCs w:val="21"/>
        </w:rPr>
      </w:pPr>
      <w:r>
        <w:rPr>
          <w:spacing w:val="-1"/>
          <w:sz w:val="21"/>
          <w:szCs w:val="21"/>
        </w:rPr>
        <w:t>本协议书中词语含义与第二部分通用合同条款中赋予的含义相同。</w:t>
      </w:r>
    </w:p>
    <w:p>
      <w:pPr>
        <w:pStyle w:val="11"/>
        <w:spacing w:before="69" w:line="222" w:lineRule="auto"/>
        <w:ind w:left="443"/>
        <w:rPr>
          <w:sz w:val="21"/>
          <w:szCs w:val="21"/>
        </w:rPr>
      </w:pPr>
      <w:r>
        <w:rPr>
          <w:b/>
          <w:bCs/>
          <w:spacing w:val="-3"/>
          <w:sz w:val="21"/>
          <w:szCs w:val="21"/>
        </w:rPr>
        <w:t>十、签订地点</w:t>
      </w:r>
    </w:p>
    <w:p>
      <w:pPr>
        <w:pStyle w:val="11"/>
        <w:spacing w:before="66" w:line="220" w:lineRule="auto"/>
        <w:ind w:left="441"/>
        <w:rPr>
          <w:sz w:val="21"/>
          <w:szCs w:val="21"/>
        </w:rPr>
      </w:pPr>
      <w:r>
        <w:rPr>
          <w:spacing w:val="-2"/>
          <w:sz w:val="21"/>
          <w:szCs w:val="21"/>
        </w:rPr>
        <w:t>本合同在</w:t>
      </w:r>
      <w:r>
        <w:rPr>
          <w:spacing w:val="-2"/>
          <w:sz w:val="21"/>
          <w:szCs w:val="21"/>
          <w:u w:val="single" w:color="auto"/>
        </w:rPr>
        <w:t xml:space="preserve">   广西南宁市</w:t>
      </w:r>
      <w:r>
        <w:rPr>
          <w:spacing w:val="6"/>
          <w:sz w:val="21"/>
          <w:szCs w:val="21"/>
          <w:u w:val="single" w:color="auto"/>
        </w:rPr>
        <w:t xml:space="preserve">    </w:t>
      </w:r>
      <w:r>
        <w:rPr>
          <w:spacing w:val="-2"/>
          <w:sz w:val="21"/>
          <w:szCs w:val="21"/>
          <w:u w:val="single" w:color="auto"/>
        </w:rPr>
        <w:t xml:space="preserve">区 </w:t>
      </w:r>
      <w:r>
        <w:rPr>
          <w:spacing w:val="-2"/>
          <w:sz w:val="21"/>
          <w:szCs w:val="21"/>
        </w:rPr>
        <w:t>签订。</w:t>
      </w:r>
    </w:p>
    <w:p>
      <w:pPr>
        <w:pStyle w:val="11"/>
        <w:spacing w:before="72" w:line="221" w:lineRule="auto"/>
        <w:ind w:left="443"/>
        <w:rPr>
          <w:sz w:val="21"/>
          <w:szCs w:val="21"/>
        </w:rPr>
      </w:pPr>
      <w:r>
        <w:rPr>
          <w:b/>
          <w:bCs/>
          <w:spacing w:val="-4"/>
          <w:sz w:val="21"/>
          <w:szCs w:val="21"/>
        </w:rPr>
        <w:t>十一、补充协议</w:t>
      </w:r>
    </w:p>
    <w:p>
      <w:pPr>
        <w:pStyle w:val="11"/>
        <w:spacing w:before="68" w:line="221" w:lineRule="auto"/>
        <w:ind w:left="441"/>
        <w:rPr>
          <w:rFonts w:ascii="Arial"/>
          <w:sz w:val="21"/>
        </w:rPr>
      </w:pPr>
      <w:r>
        <w:rPr>
          <w:sz w:val="21"/>
          <w:szCs w:val="21"/>
        </w:rPr>
        <w:t>合同未尽事宜，合同当事人另行签订补充协议，补充协议是合同的组</w:t>
      </w:r>
      <w:r>
        <w:rPr>
          <w:spacing w:val="-1"/>
          <w:sz w:val="21"/>
          <w:szCs w:val="21"/>
        </w:rPr>
        <w:t>成部分。</w:t>
      </w:r>
    </w:p>
    <w:p>
      <w:pPr>
        <w:pStyle w:val="11"/>
        <w:spacing w:before="68" w:line="221" w:lineRule="auto"/>
        <w:ind w:left="441"/>
        <w:rPr>
          <w:sz w:val="21"/>
          <w:szCs w:val="21"/>
        </w:rPr>
      </w:pPr>
      <w:r>
        <w:rPr>
          <w:b/>
          <w:bCs/>
          <w:spacing w:val="-3"/>
          <w:sz w:val="21"/>
          <w:szCs w:val="21"/>
        </w:rPr>
        <w:t>十二、合同生效</w:t>
      </w:r>
    </w:p>
    <w:p>
      <w:pPr>
        <w:pStyle w:val="11"/>
        <w:spacing w:before="108" w:line="269" w:lineRule="auto"/>
        <w:ind w:left="94" w:firstLine="409"/>
        <w:rPr>
          <w:sz w:val="21"/>
          <w:szCs w:val="21"/>
        </w:rPr>
      </w:pPr>
      <w:r>
        <w:rPr>
          <w:spacing w:val="-6"/>
          <w:sz w:val="21"/>
          <w:szCs w:val="21"/>
        </w:rPr>
        <w:t>本合同自</w:t>
      </w:r>
      <w:r>
        <w:rPr>
          <w:rFonts w:hint="eastAsia"/>
          <w:spacing w:val="-6"/>
          <w:sz w:val="21"/>
          <w:szCs w:val="21"/>
          <w:u w:val="single" w:color="auto"/>
        </w:rPr>
        <w:t>经双方法定代表人或委托代理人签字（或盖章）并加盖双方公章（或合同专用章）之日起</w:t>
      </w:r>
      <w:r>
        <w:rPr>
          <w:spacing w:val="-6"/>
          <w:sz w:val="21"/>
          <w:szCs w:val="21"/>
        </w:rPr>
        <w:t>生效，如任何一方违约，守约方为维护权益向违约方追偿的一切</w:t>
      </w:r>
      <w:r>
        <w:rPr>
          <w:sz w:val="21"/>
          <w:szCs w:val="21"/>
        </w:rPr>
        <w:t xml:space="preserve"> </w:t>
      </w:r>
      <w:r>
        <w:rPr>
          <w:spacing w:val="-1"/>
          <w:sz w:val="21"/>
          <w:szCs w:val="21"/>
        </w:rPr>
        <w:t>费用，包括但不限于律师费、诉讼费、保全费、鉴定费、差旅费等由违约方负责。</w:t>
      </w:r>
    </w:p>
    <w:p>
      <w:pPr>
        <w:pStyle w:val="11"/>
        <w:spacing w:before="87" w:line="221" w:lineRule="auto"/>
        <w:ind w:left="443"/>
        <w:rPr>
          <w:sz w:val="21"/>
          <w:szCs w:val="21"/>
        </w:rPr>
      </w:pPr>
      <w:r>
        <w:rPr>
          <w:b/>
          <w:bCs/>
          <w:spacing w:val="-3"/>
          <w:sz w:val="21"/>
          <w:szCs w:val="21"/>
        </w:rPr>
        <w:t>十三、合同份数</w:t>
      </w:r>
    </w:p>
    <w:p>
      <w:pPr>
        <w:pStyle w:val="11"/>
        <w:spacing w:before="128" w:line="220" w:lineRule="auto"/>
        <w:ind w:left="503"/>
        <w:rPr>
          <w:sz w:val="21"/>
          <w:szCs w:val="21"/>
        </w:rPr>
      </w:pPr>
      <w:r>
        <w:rPr>
          <w:spacing w:val="-2"/>
          <w:sz w:val="21"/>
          <w:szCs w:val="21"/>
        </w:rPr>
        <w:t>本合同一式</w:t>
      </w:r>
      <w:r>
        <w:rPr>
          <w:spacing w:val="-2"/>
          <w:sz w:val="21"/>
          <w:szCs w:val="21"/>
          <w:u w:val="single" w:color="auto"/>
        </w:rPr>
        <w:t>拾</w:t>
      </w:r>
      <w:r>
        <w:rPr>
          <w:spacing w:val="-2"/>
          <w:sz w:val="21"/>
          <w:szCs w:val="21"/>
        </w:rPr>
        <w:t>份，双方各执</w:t>
      </w:r>
      <w:r>
        <w:rPr>
          <w:spacing w:val="-2"/>
          <w:sz w:val="21"/>
          <w:szCs w:val="21"/>
          <w:u w:val="single" w:color="auto"/>
        </w:rPr>
        <w:t>伍</w:t>
      </w:r>
      <w:r>
        <w:rPr>
          <w:spacing w:val="-2"/>
          <w:sz w:val="21"/>
          <w:szCs w:val="21"/>
        </w:rPr>
        <w:t>份。</w:t>
      </w:r>
    </w:p>
    <w:p>
      <w:pPr>
        <w:spacing w:line="382" w:lineRule="auto"/>
        <w:rPr>
          <w:rFonts w:ascii="Arial"/>
          <w:sz w:val="21"/>
        </w:rPr>
      </w:pPr>
    </w:p>
    <w:p>
      <w:pPr>
        <w:pStyle w:val="11"/>
        <w:spacing w:before="69" w:line="220" w:lineRule="auto"/>
        <w:ind w:left="23"/>
        <w:rPr>
          <w:sz w:val="21"/>
          <w:szCs w:val="21"/>
        </w:rPr>
      </w:pPr>
      <w:r>
        <w:rPr>
          <w:spacing w:val="-3"/>
          <w:sz w:val="21"/>
          <w:szCs w:val="21"/>
        </w:rPr>
        <w:t>发包人</w:t>
      </w:r>
      <w:r>
        <w:rPr>
          <w:spacing w:val="-2"/>
          <w:sz w:val="21"/>
          <w:szCs w:val="21"/>
        </w:rPr>
        <w:t>：</w:t>
      </w:r>
      <w:r>
        <w:rPr>
          <w:sz w:val="21"/>
          <w:szCs w:val="21"/>
        </w:rPr>
        <w:t xml:space="preserve">  </w:t>
      </w:r>
      <w:r>
        <w:rPr>
          <w:spacing w:val="-2"/>
          <w:sz w:val="21"/>
          <w:szCs w:val="21"/>
        </w:rPr>
        <w:t>（</w:t>
      </w:r>
      <w:r>
        <w:rPr>
          <w:spacing w:val="-3"/>
          <w:sz w:val="21"/>
          <w:szCs w:val="21"/>
        </w:rPr>
        <w:t>公章）</w:t>
      </w:r>
      <w:r>
        <w:rPr>
          <w:spacing w:val="1"/>
          <w:sz w:val="21"/>
          <w:szCs w:val="21"/>
        </w:rPr>
        <w:t xml:space="preserve">                     </w:t>
      </w:r>
      <w:r>
        <w:rPr>
          <w:sz w:val="21"/>
          <w:szCs w:val="21"/>
        </w:rPr>
        <w:t xml:space="preserve">      </w:t>
      </w:r>
      <w:r>
        <w:rPr>
          <w:spacing w:val="-3"/>
          <w:sz w:val="21"/>
          <w:szCs w:val="21"/>
        </w:rPr>
        <w:t>设计人</w:t>
      </w:r>
      <w:r>
        <w:rPr>
          <w:spacing w:val="-2"/>
          <w:sz w:val="21"/>
          <w:szCs w:val="21"/>
        </w:rPr>
        <w:t>：</w:t>
      </w:r>
      <w:r>
        <w:rPr>
          <w:spacing w:val="1"/>
          <w:sz w:val="21"/>
          <w:szCs w:val="21"/>
        </w:rPr>
        <w:t xml:space="preserve">  </w:t>
      </w:r>
      <w:r>
        <w:rPr>
          <w:spacing w:val="-2"/>
          <w:sz w:val="21"/>
          <w:szCs w:val="21"/>
        </w:rPr>
        <w:t>（</w:t>
      </w:r>
      <w:r>
        <w:rPr>
          <w:spacing w:val="-3"/>
          <w:sz w:val="21"/>
          <w:szCs w:val="21"/>
        </w:rPr>
        <w:t>公章）</w:t>
      </w:r>
    </w:p>
    <w:p>
      <w:pPr>
        <w:spacing w:line="317" w:lineRule="auto"/>
        <w:rPr>
          <w:rFonts w:ascii="Arial"/>
          <w:sz w:val="21"/>
        </w:rPr>
      </w:pPr>
    </w:p>
    <w:p>
      <w:pPr>
        <w:pStyle w:val="11"/>
        <w:spacing w:before="68" w:line="221" w:lineRule="auto"/>
        <w:ind w:left="21"/>
        <w:rPr>
          <w:sz w:val="21"/>
          <w:szCs w:val="21"/>
        </w:rPr>
      </w:pPr>
      <w:r>
        <w:rPr>
          <w:spacing w:val="-1"/>
          <w:sz w:val="21"/>
          <w:szCs w:val="21"/>
        </w:rPr>
        <w:t>法定代表人或其委托代理人：                   法定代表人或其委托代理人：</w:t>
      </w:r>
    </w:p>
    <w:p>
      <w:pPr>
        <w:pStyle w:val="11"/>
        <w:spacing w:before="71" w:line="221" w:lineRule="auto"/>
        <w:ind w:left="26"/>
        <w:rPr>
          <w:sz w:val="21"/>
          <w:szCs w:val="21"/>
        </w:rPr>
      </w:pPr>
      <w:r>
        <w:rPr>
          <w:spacing w:val="-5"/>
          <w:sz w:val="21"/>
          <w:szCs w:val="21"/>
        </w:rPr>
        <w:t>（签字</w:t>
      </w:r>
      <w:r>
        <w:rPr>
          <w:sz w:val="21"/>
          <w:szCs w:val="21"/>
        </w:rPr>
        <w:t>）                                     （</w:t>
      </w:r>
      <w:r>
        <w:rPr>
          <w:spacing w:val="-5"/>
          <w:sz w:val="21"/>
          <w:szCs w:val="21"/>
        </w:rPr>
        <w:t>签字）</w:t>
      </w:r>
    </w:p>
    <w:p>
      <w:pPr>
        <w:pStyle w:val="11"/>
        <w:spacing w:before="68" w:line="220" w:lineRule="auto"/>
        <w:ind w:left="22"/>
        <w:rPr>
          <w:sz w:val="21"/>
          <w:szCs w:val="21"/>
        </w:rPr>
      </w:pPr>
      <w:r>
        <w:rPr>
          <w:spacing w:val="-2"/>
          <w:sz w:val="21"/>
          <w:szCs w:val="21"/>
        </w:rPr>
        <w:t>社会信用代码</w:t>
      </w:r>
      <w:r>
        <w:rPr>
          <w:spacing w:val="-2"/>
          <w:sz w:val="21"/>
          <w:szCs w:val="21"/>
          <w:u w:val="single" w:color="auto"/>
        </w:rPr>
        <w:t xml:space="preserve">               </w:t>
      </w:r>
      <w:r>
        <w:rPr>
          <w:spacing w:val="-2"/>
          <w:sz w:val="21"/>
          <w:szCs w:val="21"/>
        </w:rPr>
        <w:t xml:space="preserve">                  社会信用代码：</w:t>
      </w:r>
      <w:r>
        <w:rPr>
          <w:spacing w:val="-2"/>
          <w:sz w:val="21"/>
          <w:szCs w:val="21"/>
          <w:u w:val="single" w:color="auto"/>
        </w:rPr>
        <w:t xml:space="preserve">                 </w:t>
      </w:r>
    </w:p>
    <w:p>
      <w:pPr>
        <w:pStyle w:val="11"/>
        <w:spacing w:before="69" w:line="230" w:lineRule="auto"/>
        <w:ind w:left="20"/>
        <w:rPr>
          <w:sz w:val="21"/>
          <w:szCs w:val="21"/>
        </w:rPr>
      </w:pPr>
      <w:r>
        <w:rPr>
          <w:spacing w:val="-6"/>
          <w:sz w:val="21"/>
          <w:szCs w:val="21"/>
        </w:rPr>
        <w:t>地</w:t>
      </w:r>
      <w:r>
        <w:rPr>
          <w:spacing w:val="6"/>
          <w:sz w:val="21"/>
          <w:szCs w:val="21"/>
        </w:rPr>
        <w:t xml:space="preserve">  </w:t>
      </w:r>
      <w:r>
        <w:rPr>
          <w:spacing w:val="-6"/>
          <w:sz w:val="21"/>
          <w:szCs w:val="21"/>
        </w:rPr>
        <w:t>址：</w:t>
      </w:r>
      <w:r>
        <w:rPr>
          <w:spacing w:val="5"/>
          <w:sz w:val="21"/>
          <w:szCs w:val="21"/>
          <w:u w:val="single" w:color="auto"/>
        </w:rPr>
        <w:t xml:space="preserve">                  </w:t>
      </w:r>
      <w:r>
        <w:rPr>
          <w:spacing w:val="1"/>
          <w:sz w:val="21"/>
          <w:szCs w:val="21"/>
        </w:rPr>
        <w:t xml:space="preserve">                  </w:t>
      </w:r>
      <w:r>
        <w:rPr>
          <w:spacing w:val="-6"/>
          <w:sz w:val="21"/>
          <w:szCs w:val="21"/>
        </w:rPr>
        <w:t>地</w:t>
      </w:r>
      <w:r>
        <w:rPr>
          <w:spacing w:val="7"/>
          <w:sz w:val="21"/>
          <w:szCs w:val="21"/>
        </w:rPr>
        <w:t xml:space="preserve">  </w:t>
      </w:r>
      <w:r>
        <w:rPr>
          <w:spacing w:val="-6"/>
          <w:sz w:val="21"/>
          <w:szCs w:val="21"/>
        </w:rPr>
        <w:t>址：</w:t>
      </w:r>
      <w:r>
        <w:rPr>
          <w:sz w:val="21"/>
          <w:szCs w:val="21"/>
          <w:u w:val="single" w:color="auto"/>
        </w:rPr>
        <w:t xml:space="preserve">                      </w:t>
      </w:r>
    </w:p>
    <w:p>
      <w:pPr>
        <w:pStyle w:val="11"/>
        <w:spacing w:before="60" w:line="221" w:lineRule="auto"/>
        <w:ind w:left="35"/>
        <w:rPr>
          <w:sz w:val="21"/>
          <w:szCs w:val="21"/>
        </w:rPr>
      </w:pPr>
      <w:r>
        <w:rPr>
          <w:spacing w:val="-5"/>
          <w:sz w:val="21"/>
          <w:szCs w:val="21"/>
        </w:rPr>
        <w:t>邮政编码：</w:t>
      </w:r>
      <w:r>
        <w:rPr>
          <w:sz w:val="21"/>
          <w:szCs w:val="21"/>
          <w:u w:val="single" w:color="auto"/>
        </w:rPr>
        <w:t xml:space="preserve">                  </w:t>
      </w:r>
      <w:r>
        <w:rPr>
          <w:spacing w:val="1"/>
          <w:sz w:val="21"/>
          <w:szCs w:val="21"/>
        </w:rPr>
        <w:t xml:space="preserve">                 </w:t>
      </w:r>
      <w:r>
        <w:rPr>
          <w:spacing w:val="-5"/>
          <w:sz w:val="21"/>
          <w:szCs w:val="21"/>
        </w:rPr>
        <w:t>邮政编码：</w:t>
      </w:r>
      <w:r>
        <w:rPr>
          <w:sz w:val="21"/>
          <w:szCs w:val="21"/>
          <w:u w:val="single" w:color="auto"/>
        </w:rPr>
        <w:t xml:space="preserve">                   </w:t>
      </w:r>
    </w:p>
    <w:p>
      <w:pPr>
        <w:pStyle w:val="11"/>
        <w:spacing w:before="68" w:line="221" w:lineRule="auto"/>
        <w:ind w:left="21"/>
        <w:rPr>
          <w:sz w:val="21"/>
          <w:szCs w:val="21"/>
        </w:rPr>
      </w:pPr>
      <w:r>
        <w:rPr>
          <w:sz w:val="21"/>
          <w:szCs w:val="21"/>
        </w:rPr>
        <w:t>法定代表人：</w:t>
      </w:r>
      <w:r>
        <w:rPr>
          <w:sz w:val="21"/>
          <w:szCs w:val="21"/>
          <w:u w:val="single" w:color="auto"/>
        </w:rPr>
        <w:t xml:space="preserve">               </w:t>
      </w:r>
      <w:r>
        <w:rPr>
          <w:sz w:val="21"/>
          <w:szCs w:val="21"/>
        </w:rPr>
        <w:t xml:space="preserve">                 </w:t>
      </w:r>
      <w:r>
        <w:rPr>
          <w:spacing w:val="-1"/>
          <w:sz w:val="21"/>
          <w:szCs w:val="21"/>
        </w:rPr>
        <w:t xml:space="preserve"> 法定代表人：</w:t>
      </w:r>
      <w:r>
        <w:rPr>
          <w:sz w:val="21"/>
          <w:szCs w:val="21"/>
          <w:u w:val="single" w:color="auto"/>
        </w:rPr>
        <w:t xml:space="preserve">                 </w:t>
      </w:r>
    </w:p>
    <w:p>
      <w:pPr>
        <w:pStyle w:val="11"/>
        <w:spacing w:before="68" w:line="221" w:lineRule="auto"/>
        <w:ind w:left="19"/>
        <w:rPr>
          <w:sz w:val="21"/>
          <w:szCs w:val="21"/>
        </w:rPr>
      </w:pPr>
      <w:r>
        <w:rPr>
          <w:sz w:val="21"/>
          <w:szCs w:val="21"/>
        </w:rPr>
        <w:t>委托代理人：</w:t>
      </w:r>
      <w:r>
        <w:rPr>
          <w:sz w:val="21"/>
          <w:szCs w:val="21"/>
          <w:u w:val="single" w:color="auto"/>
        </w:rPr>
        <w:t xml:space="preserve">               </w:t>
      </w:r>
      <w:r>
        <w:rPr>
          <w:sz w:val="21"/>
          <w:szCs w:val="21"/>
        </w:rPr>
        <w:t xml:space="preserve">                  委</w:t>
      </w:r>
      <w:r>
        <w:rPr>
          <w:spacing w:val="-1"/>
          <w:sz w:val="21"/>
          <w:szCs w:val="21"/>
        </w:rPr>
        <w:t>托代理人：</w:t>
      </w:r>
      <w:r>
        <w:rPr>
          <w:sz w:val="21"/>
          <w:szCs w:val="21"/>
          <w:u w:val="single" w:color="auto"/>
        </w:rPr>
        <w:t xml:space="preserve">                 </w:t>
      </w:r>
    </w:p>
    <w:p>
      <w:pPr>
        <w:pStyle w:val="11"/>
        <w:spacing w:before="70" w:line="223" w:lineRule="auto"/>
        <w:ind w:left="45"/>
        <w:rPr>
          <w:sz w:val="21"/>
          <w:szCs w:val="21"/>
        </w:rPr>
      </w:pPr>
      <w:r>
        <w:rPr>
          <w:spacing w:val="-14"/>
          <w:sz w:val="21"/>
          <w:szCs w:val="21"/>
        </w:rPr>
        <w:t>电</w:t>
      </w:r>
      <w:r>
        <w:rPr>
          <w:spacing w:val="6"/>
          <w:sz w:val="21"/>
          <w:szCs w:val="21"/>
        </w:rPr>
        <w:t xml:space="preserve">  </w:t>
      </w:r>
      <w:r>
        <w:rPr>
          <w:spacing w:val="-14"/>
          <w:sz w:val="21"/>
          <w:szCs w:val="21"/>
        </w:rPr>
        <w:t>话：</w:t>
      </w:r>
      <w:r>
        <w:rPr>
          <w:sz w:val="21"/>
          <w:szCs w:val="21"/>
          <w:u w:val="single" w:color="auto"/>
        </w:rPr>
        <w:t xml:space="preserve">                   </w:t>
      </w:r>
      <w:r>
        <w:rPr>
          <w:spacing w:val="1"/>
          <w:sz w:val="21"/>
          <w:szCs w:val="21"/>
        </w:rPr>
        <w:t xml:space="preserve">                  </w:t>
      </w:r>
      <w:r>
        <w:rPr>
          <w:spacing w:val="-14"/>
          <w:sz w:val="21"/>
          <w:szCs w:val="21"/>
        </w:rPr>
        <w:t>电</w:t>
      </w:r>
      <w:r>
        <w:rPr>
          <w:spacing w:val="11"/>
          <w:sz w:val="21"/>
          <w:szCs w:val="21"/>
        </w:rPr>
        <w:t xml:space="preserve">  </w:t>
      </w:r>
      <w:r>
        <w:rPr>
          <w:spacing w:val="-14"/>
          <w:sz w:val="21"/>
          <w:szCs w:val="21"/>
        </w:rPr>
        <w:t>话：</w:t>
      </w:r>
      <w:r>
        <w:rPr>
          <w:sz w:val="21"/>
          <w:szCs w:val="21"/>
          <w:u w:val="single" w:color="auto"/>
        </w:rPr>
        <w:t xml:space="preserve">                     </w:t>
      </w:r>
    </w:p>
    <w:p>
      <w:pPr>
        <w:pStyle w:val="11"/>
        <w:spacing w:before="66" w:line="220" w:lineRule="auto"/>
        <w:ind w:left="18"/>
        <w:rPr>
          <w:sz w:val="21"/>
          <w:szCs w:val="21"/>
        </w:rPr>
      </w:pPr>
      <w:r>
        <w:rPr>
          <w:spacing w:val="-6"/>
          <w:sz w:val="21"/>
          <w:szCs w:val="21"/>
        </w:rPr>
        <w:t>传</w:t>
      </w:r>
      <w:r>
        <w:rPr>
          <w:spacing w:val="7"/>
          <w:sz w:val="21"/>
          <w:szCs w:val="21"/>
        </w:rPr>
        <w:t xml:space="preserve">  </w:t>
      </w:r>
      <w:r>
        <w:rPr>
          <w:spacing w:val="-6"/>
          <w:sz w:val="21"/>
          <w:szCs w:val="21"/>
        </w:rPr>
        <w:t>真：</w:t>
      </w:r>
      <w:r>
        <w:rPr>
          <w:sz w:val="21"/>
          <w:szCs w:val="21"/>
          <w:u w:val="single" w:color="auto"/>
        </w:rPr>
        <w:t xml:space="preserve">                   </w:t>
      </w:r>
      <w:r>
        <w:rPr>
          <w:sz w:val="21"/>
          <w:szCs w:val="21"/>
        </w:rPr>
        <w:t xml:space="preserve">                  </w:t>
      </w:r>
      <w:r>
        <w:rPr>
          <w:spacing w:val="-6"/>
          <w:sz w:val="21"/>
          <w:szCs w:val="21"/>
        </w:rPr>
        <w:t>传</w:t>
      </w:r>
      <w:r>
        <w:rPr>
          <w:spacing w:val="9"/>
          <w:sz w:val="21"/>
          <w:szCs w:val="21"/>
        </w:rPr>
        <w:t xml:space="preserve">  </w:t>
      </w:r>
      <w:r>
        <w:rPr>
          <w:spacing w:val="-6"/>
          <w:sz w:val="21"/>
          <w:szCs w:val="21"/>
        </w:rPr>
        <w:t>真：</w:t>
      </w:r>
      <w:r>
        <w:rPr>
          <w:sz w:val="21"/>
          <w:szCs w:val="21"/>
          <w:u w:val="single" w:color="auto"/>
        </w:rPr>
        <w:t xml:space="preserve">                     </w:t>
      </w:r>
    </w:p>
    <w:p>
      <w:pPr>
        <w:pStyle w:val="11"/>
        <w:spacing w:before="68" w:line="221" w:lineRule="auto"/>
        <w:ind w:left="45"/>
        <w:rPr>
          <w:sz w:val="21"/>
          <w:szCs w:val="21"/>
        </w:rPr>
      </w:pPr>
      <w:r>
        <w:rPr>
          <w:spacing w:val="-7"/>
          <w:sz w:val="21"/>
          <w:szCs w:val="21"/>
        </w:rPr>
        <w:t>电子信箱：</w:t>
      </w:r>
      <w:r>
        <w:rPr>
          <w:sz w:val="21"/>
          <w:szCs w:val="21"/>
          <w:u w:val="single" w:color="auto"/>
        </w:rPr>
        <w:t xml:space="preserve">                 </w:t>
      </w:r>
      <w:r>
        <w:rPr>
          <w:spacing w:val="2"/>
          <w:sz w:val="21"/>
          <w:szCs w:val="21"/>
        </w:rPr>
        <w:t xml:space="preserve">                  </w:t>
      </w:r>
      <w:r>
        <w:rPr>
          <w:spacing w:val="-7"/>
          <w:sz w:val="21"/>
          <w:szCs w:val="21"/>
        </w:rPr>
        <w:t>电子信箱：</w:t>
      </w:r>
      <w:r>
        <w:rPr>
          <w:sz w:val="21"/>
          <w:szCs w:val="21"/>
          <w:u w:val="single" w:color="auto"/>
        </w:rPr>
        <w:t xml:space="preserve">                   </w:t>
      </w:r>
    </w:p>
    <w:p>
      <w:pPr>
        <w:pStyle w:val="11"/>
        <w:spacing w:before="71" w:line="221" w:lineRule="auto"/>
        <w:ind w:left="21"/>
        <w:rPr>
          <w:sz w:val="21"/>
          <w:szCs w:val="21"/>
        </w:rPr>
      </w:pPr>
      <w:r>
        <w:rPr>
          <w:spacing w:val="-2"/>
          <w:sz w:val="21"/>
          <w:szCs w:val="21"/>
        </w:rPr>
        <w:t>开户银行：</w:t>
      </w:r>
      <w:r>
        <w:rPr>
          <w:spacing w:val="-2"/>
          <w:sz w:val="21"/>
          <w:szCs w:val="21"/>
          <w:u w:val="single" w:color="auto"/>
        </w:rPr>
        <w:t xml:space="preserve">                 </w:t>
      </w:r>
      <w:r>
        <w:rPr>
          <w:spacing w:val="-2"/>
          <w:sz w:val="21"/>
          <w:szCs w:val="21"/>
        </w:rPr>
        <w:t xml:space="preserve">                  开户银行：</w:t>
      </w:r>
      <w:r>
        <w:rPr>
          <w:spacing w:val="-2"/>
          <w:sz w:val="21"/>
          <w:szCs w:val="21"/>
          <w:u w:val="single" w:color="auto"/>
        </w:rPr>
        <w:t xml:space="preserve">                    </w:t>
      </w:r>
    </w:p>
    <w:p>
      <w:pPr>
        <w:pStyle w:val="11"/>
        <w:spacing w:before="68" w:line="221" w:lineRule="auto"/>
        <w:ind w:left="21"/>
        <w:rPr>
          <w:sz w:val="21"/>
          <w:szCs w:val="21"/>
        </w:rPr>
      </w:pPr>
      <w:r>
        <w:rPr>
          <w:spacing w:val="-1"/>
          <w:sz w:val="21"/>
          <w:szCs w:val="21"/>
        </w:rPr>
        <w:t>开户账号：</w:t>
      </w:r>
      <w:r>
        <w:rPr>
          <w:spacing w:val="-1"/>
          <w:sz w:val="21"/>
          <w:szCs w:val="21"/>
          <w:u w:val="single" w:color="auto"/>
        </w:rPr>
        <w:t xml:space="preserve">               </w:t>
      </w:r>
      <w:r>
        <w:rPr>
          <w:spacing w:val="-2"/>
          <w:sz w:val="21"/>
          <w:szCs w:val="21"/>
          <w:u w:val="single" w:color="auto"/>
        </w:rPr>
        <w:t xml:space="preserve">   </w:t>
      </w:r>
      <w:r>
        <w:rPr>
          <w:spacing w:val="-2"/>
          <w:sz w:val="21"/>
          <w:szCs w:val="21"/>
        </w:rPr>
        <w:t xml:space="preserve">                 开户账号：</w:t>
      </w:r>
      <w:r>
        <w:rPr>
          <w:spacing w:val="-2"/>
          <w:sz w:val="21"/>
          <w:szCs w:val="21"/>
          <w:u w:val="single" w:color="auto"/>
        </w:rPr>
        <w:t xml:space="preserve">                     </w:t>
      </w:r>
    </w:p>
    <w:p>
      <w:pPr>
        <w:pStyle w:val="11"/>
        <w:spacing w:before="68" w:line="221" w:lineRule="auto"/>
        <w:ind w:left="20"/>
        <w:rPr>
          <w:spacing w:val="-4"/>
          <w:sz w:val="21"/>
          <w:szCs w:val="21"/>
        </w:rPr>
      </w:pPr>
      <w:r>
        <w:rPr>
          <w:spacing w:val="-3"/>
          <w:sz w:val="21"/>
          <w:szCs w:val="21"/>
        </w:rPr>
        <w:t>签订时间：</w:t>
      </w:r>
      <w:r>
        <w:rPr>
          <w:spacing w:val="-3"/>
          <w:sz w:val="21"/>
          <w:szCs w:val="21"/>
          <w:u w:val="single" w:color="auto"/>
        </w:rPr>
        <w:t xml:space="preserve">      </w:t>
      </w:r>
      <w:r>
        <w:rPr>
          <w:spacing w:val="-96"/>
          <w:sz w:val="21"/>
          <w:szCs w:val="21"/>
        </w:rPr>
        <w:t xml:space="preserve"> </w:t>
      </w:r>
      <w:r>
        <w:rPr>
          <w:spacing w:val="-3"/>
          <w:sz w:val="21"/>
          <w:szCs w:val="21"/>
        </w:rPr>
        <w:t>年</w:t>
      </w:r>
      <w:r>
        <w:rPr>
          <w:spacing w:val="-3"/>
          <w:sz w:val="21"/>
          <w:szCs w:val="21"/>
          <w:u w:val="single" w:color="auto"/>
        </w:rPr>
        <w:t xml:space="preserve">    </w:t>
      </w:r>
      <w:r>
        <w:rPr>
          <w:spacing w:val="-91"/>
          <w:sz w:val="21"/>
          <w:szCs w:val="21"/>
        </w:rPr>
        <w:t xml:space="preserve"> </w:t>
      </w:r>
      <w:r>
        <w:rPr>
          <w:spacing w:val="-3"/>
          <w:sz w:val="21"/>
          <w:szCs w:val="21"/>
        </w:rPr>
        <w:t>月</w:t>
      </w:r>
      <w:r>
        <w:rPr>
          <w:spacing w:val="-105"/>
          <w:sz w:val="21"/>
          <w:szCs w:val="21"/>
        </w:rPr>
        <w:t xml:space="preserve"> </w:t>
      </w:r>
      <w:r>
        <w:rPr>
          <w:spacing w:val="52"/>
          <w:sz w:val="21"/>
          <w:szCs w:val="21"/>
          <w:u w:val="single" w:color="auto"/>
        </w:rPr>
        <w:t xml:space="preserve">  </w:t>
      </w:r>
      <w:r>
        <w:rPr>
          <w:spacing w:val="-60"/>
          <w:sz w:val="21"/>
          <w:szCs w:val="21"/>
        </w:rPr>
        <w:t xml:space="preserve"> </w:t>
      </w:r>
      <w:r>
        <w:rPr>
          <w:spacing w:val="-3"/>
          <w:sz w:val="21"/>
          <w:szCs w:val="21"/>
        </w:rPr>
        <w:t>日</w:t>
      </w:r>
      <w:r>
        <w:rPr>
          <w:sz w:val="21"/>
          <w:szCs w:val="21"/>
        </w:rPr>
        <w:t xml:space="preserve">                </w:t>
      </w:r>
      <w:r>
        <w:rPr>
          <w:spacing w:val="-3"/>
          <w:sz w:val="21"/>
          <w:szCs w:val="21"/>
        </w:rPr>
        <w:t>签订时间：</w:t>
      </w:r>
      <w:r>
        <w:rPr>
          <w:sz w:val="21"/>
          <w:szCs w:val="21"/>
          <w:u w:val="single" w:color="auto"/>
        </w:rPr>
        <w:t xml:space="preserve">        </w:t>
      </w:r>
      <w:r>
        <w:rPr>
          <w:spacing w:val="-90"/>
          <w:sz w:val="21"/>
          <w:szCs w:val="21"/>
        </w:rPr>
        <w:t xml:space="preserve"> </w:t>
      </w:r>
      <w:r>
        <w:rPr>
          <w:spacing w:val="-3"/>
          <w:sz w:val="21"/>
          <w:szCs w:val="21"/>
        </w:rPr>
        <w:t>年</w:t>
      </w:r>
      <w:r>
        <w:rPr>
          <w:spacing w:val="-3"/>
          <w:sz w:val="21"/>
          <w:szCs w:val="21"/>
          <w:u w:val="single" w:color="auto"/>
        </w:rPr>
        <w:t xml:space="preserve"> </w:t>
      </w:r>
      <w:r>
        <w:rPr>
          <w:spacing w:val="-4"/>
          <w:sz w:val="21"/>
          <w:szCs w:val="21"/>
          <w:u w:val="single" w:color="auto"/>
        </w:rPr>
        <w:t xml:space="preserve">  </w:t>
      </w:r>
      <w:r>
        <w:rPr>
          <w:spacing w:val="14"/>
          <w:sz w:val="21"/>
          <w:szCs w:val="21"/>
        </w:rPr>
        <w:t xml:space="preserve"> </w:t>
      </w:r>
      <w:r>
        <w:rPr>
          <w:spacing w:val="-4"/>
          <w:sz w:val="21"/>
          <w:szCs w:val="21"/>
        </w:rPr>
        <w:t>月</w:t>
      </w:r>
      <w:r>
        <w:rPr>
          <w:spacing w:val="-4"/>
          <w:sz w:val="21"/>
          <w:szCs w:val="21"/>
          <w:u w:val="single" w:color="auto"/>
        </w:rPr>
        <w:t xml:space="preserve">   </w:t>
      </w:r>
      <w:r>
        <w:rPr>
          <w:spacing w:val="-60"/>
          <w:sz w:val="21"/>
          <w:szCs w:val="21"/>
        </w:rPr>
        <w:t xml:space="preserve"> </w:t>
      </w:r>
      <w:r>
        <w:rPr>
          <w:spacing w:val="-4"/>
          <w:sz w:val="21"/>
          <w:szCs w:val="21"/>
        </w:rPr>
        <w:t>日</w:t>
      </w:r>
    </w:p>
    <w:p>
      <w:pPr>
        <w:pStyle w:val="11"/>
        <w:spacing w:before="68" w:line="221" w:lineRule="auto"/>
        <w:ind w:left="20"/>
        <w:rPr>
          <w:spacing w:val="-4"/>
          <w:sz w:val="21"/>
          <w:szCs w:val="21"/>
        </w:rPr>
      </w:pPr>
    </w:p>
    <w:p>
      <w:pPr>
        <w:pStyle w:val="11"/>
        <w:spacing w:before="68" w:line="221" w:lineRule="auto"/>
        <w:ind w:left="20"/>
        <w:rPr>
          <w:spacing w:val="-4"/>
          <w:sz w:val="21"/>
          <w:szCs w:val="21"/>
        </w:rPr>
        <w:sectPr>
          <w:footerReference r:id="rId8" w:type="default"/>
          <w:pgSz w:w="11907" w:h="16841"/>
          <w:pgMar w:top="400" w:right="1493" w:bottom="1015" w:left="1785" w:header="0" w:footer="851" w:gutter="0"/>
          <w:cols w:space="720" w:num="1"/>
        </w:sectPr>
      </w:pPr>
    </w:p>
    <w:p>
      <w:pPr>
        <w:spacing w:line="247" w:lineRule="auto"/>
        <w:ind w:left="0" w:leftChars="0" w:firstLine="0" w:firstLineChars="0"/>
        <w:rPr>
          <w:rFonts w:ascii="Arial"/>
          <w:sz w:val="21"/>
        </w:rPr>
      </w:pPr>
    </w:p>
    <w:p>
      <w:pPr>
        <w:spacing w:before="101" w:line="224" w:lineRule="auto"/>
        <w:ind w:left="2672"/>
        <w:outlineLvl w:val="0"/>
        <w:rPr>
          <w:rFonts w:ascii="黑体" w:hAnsi="黑体" w:eastAsia="黑体" w:cs="黑体"/>
          <w:sz w:val="31"/>
          <w:szCs w:val="31"/>
        </w:rPr>
      </w:pPr>
      <w:bookmarkStart w:id="1158" w:name="bookmark209"/>
      <w:bookmarkEnd w:id="1158"/>
      <w:bookmarkStart w:id="1159" w:name="bookmark210"/>
      <w:bookmarkEnd w:id="1159"/>
      <w:r>
        <w:rPr>
          <w:rFonts w:ascii="黑体" w:hAnsi="黑体" w:eastAsia="黑体" w:cs="黑体"/>
          <w:b/>
          <w:bCs/>
          <w:spacing w:val="6"/>
          <w:sz w:val="31"/>
          <w:szCs w:val="31"/>
        </w:rPr>
        <w:t>第二部分</w:t>
      </w:r>
      <w:r>
        <w:rPr>
          <w:rFonts w:ascii="黑体" w:hAnsi="黑体" w:eastAsia="黑体" w:cs="黑体"/>
          <w:spacing w:val="6"/>
          <w:sz w:val="31"/>
          <w:szCs w:val="31"/>
        </w:rPr>
        <w:t xml:space="preserve"> </w:t>
      </w:r>
      <w:r>
        <w:rPr>
          <w:rFonts w:ascii="黑体" w:hAnsi="黑体" w:eastAsia="黑体" w:cs="黑体"/>
          <w:b/>
          <w:bCs/>
          <w:spacing w:val="6"/>
          <w:sz w:val="31"/>
          <w:szCs w:val="31"/>
        </w:rPr>
        <w:t>通用合同条款</w:t>
      </w:r>
    </w:p>
    <w:p>
      <w:pPr>
        <w:pStyle w:val="11"/>
        <w:spacing w:before="298" w:line="221" w:lineRule="auto"/>
        <w:ind w:left="31" w:right="255" w:firstLine="561"/>
        <w:rPr>
          <w:rFonts w:ascii="Arial"/>
          <w:sz w:val="21"/>
        </w:rPr>
      </w:pPr>
      <w:r>
        <w:rPr>
          <w:b/>
          <w:bCs/>
          <w:spacing w:val="-3"/>
          <w:sz w:val="28"/>
          <w:szCs w:val="28"/>
        </w:rPr>
        <w:t>市政工程采用《建设工程设计合同示范文本（专业建设工程）》</w:t>
      </w:r>
      <w:r>
        <w:rPr>
          <w:spacing w:val="2"/>
          <w:sz w:val="28"/>
          <w:szCs w:val="28"/>
        </w:rPr>
        <w:t xml:space="preserve"> </w:t>
      </w:r>
      <w:r>
        <w:rPr>
          <w:b/>
          <w:bCs/>
          <w:spacing w:val="-2"/>
          <w:sz w:val="28"/>
          <w:szCs w:val="28"/>
        </w:rPr>
        <w:t>（</w:t>
      </w:r>
      <w:r>
        <w:rPr>
          <w:rFonts w:ascii="Calibri" w:hAnsi="Calibri" w:eastAsia="Calibri" w:cs="Calibri"/>
          <w:b/>
          <w:bCs/>
          <w:spacing w:val="-2"/>
          <w:sz w:val="28"/>
          <w:szCs w:val="28"/>
        </w:rPr>
        <w:t>GF-2015-0210</w:t>
      </w:r>
      <w:r>
        <w:rPr>
          <w:b/>
          <w:bCs/>
          <w:spacing w:val="-2"/>
          <w:sz w:val="28"/>
          <w:szCs w:val="28"/>
        </w:rPr>
        <w:t>）。</w:t>
      </w:r>
    </w:p>
    <w:p>
      <w:pPr>
        <w:spacing w:before="101" w:line="224" w:lineRule="auto"/>
        <w:ind w:left="2672"/>
        <w:outlineLvl w:val="0"/>
        <w:rPr>
          <w:rFonts w:ascii="黑体" w:hAnsi="黑体" w:eastAsia="黑体" w:cs="黑体"/>
          <w:sz w:val="31"/>
          <w:szCs w:val="31"/>
        </w:rPr>
      </w:pPr>
      <w:bookmarkStart w:id="1160" w:name="bookmark211"/>
      <w:bookmarkEnd w:id="1160"/>
      <w:bookmarkStart w:id="1161" w:name="bookmark212"/>
      <w:bookmarkEnd w:id="1161"/>
      <w:r>
        <w:rPr>
          <w:rFonts w:ascii="黑体" w:hAnsi="黑体" w:eastAsia="黑体" w:cs="黑体"/>
          <w:b/>
          <w:bCs/>
          <w:spacing w:val="6"/>
          <w:sz w:val="31"/>
          <w:szCs w:val="31"/>
        </w:rPr>
        <w:t>第三部分</w:t>
      </w:r>
      <w:r>
        <w:rPr>
          <w:rFonts w:ascii="黑体" w:hAnsi="黑体" w:eastAsia="黑体" w:cs="黑体"/>
          <w:spacing w:val="6"/>
          <w:sz w:val="31"/>
          <w:szCs w:val="31"/>
        </w:rPr>
        <w:t xml:space="preserve"> </w:t>
      </w:r>
      <w:r>
        <w:rPr>
          <w:rFonts w:ascii="黑体" w:hAnsi="黑体" w:eastAsia="黑体" w:cs="黑体"/>
          <w:b/>
          <w:bCs/>
          <w:spacing w:val="6"/>
          <w:sz w:val="31"/>
          <w:szCs w:val="31"/>
        </w:rPr>
        <w:t>专用合同条款</w:t>
      </w:r>
    </w:p>
    <w:p>
      <w:pPr>
        <w:spacing w:line="425" w:lineRule="auto"/>
        <w:rPr>
          <w:rFonts w:ascii="Arial"/>
          <w:sz w:val="21"/>
        </w:rPr>
      </w:pPr>
    </w:p>
    <w:p>
      <w:pPr>
        <w:pStyle w:val="11"/>
        <w:spacing w:before="68" w:line="221" w:lineRule="auto"/>
        <w:ind w:left="458"/>
        <w:outlineLvl w:val="1"/>
        <w:rPr>
          <w:sz w:val="21"/>
          <w:szCs w:val="21"/>
        </w:rPr>
      </w:pPr>
      <w:r>
        <w:rPr>
          <w:b/>
          <w:bCs/>
          <w:spacing w:val="-8"/>
          <w:sz w:val="21"/>
          <w:szCs w:val="21"/>
        </w:rPr>
        <w:t>1.</w:t>
      </w:r>
      <w:r>
        <w:rPr>
          <w:spacing w:val="16"/>
          <w:sz w:val="21"/>
          <w:szCs w:val="21"/>
        </w:rPr>
        <w:t xml:space="preserve"> </w:t>
      </w:r>
      <w:r>
        <w:rPr>
          <w:b/>
          <w:bCs/>
          <w:spacing w:val="-8"/>
          <w:sz w:val="21"/>
          <w:szCs w:val="21"/>
        </w:rPr>
        <w:t>一般约定</w:t>
      </w:r>
    </w:p>
    <w:p>
      <w:pPr>
        <w:pStyle w:val="11"/>
        <w:spacing w:before="77" w:line="221" w:lineRule="auto"/>
        <w:ind w:left="455"/>
        <w:outlineLvl w:val="2"/>
        <w:rPr>
          <w:sz w:val="21"/>
          <w:szCs w:val="21"/>
        </w:rPr>
      </w:pPr>
      <w:r>
        <w:rPr>
          <w:spacing w:val="-2"/>
          <w:sz w:val="21"/>
          <w:szCs w:val="21"/>
        </w:rPr>
        <w:t>1.1 词语定义与解释</w:t>
      </w:r>
    </w:p>
    <w:p>
      <w:pPr>
        <w:pStyle w:val="11"/>
        <w:spacing w:before="79" w:line="223" w:lineRule="auto"/>
        <w:ind w:left="455"/>
        <w:rPr>
          <w:sz w:val="21"/>
          <w:szCs w:val="21"/>
        </w:rPr>
      </w:pPr>
      <w:r>
        <w:rPr>
          <w:spacing w:val="-4"/>
          <w:sz w:val="21"/>
          <w:szCs w:val="21"/>
        </w:rPr>
        <w:t>1.1.1</w:t>
      </w:r>
      <w:r>
        <w:rPr>
          <w:spacing w:val="10"/>
          <w:sz w:val="21"/>
          <w:szCs w:val="21"/>
        </w:rPr>
        <w:t xml:space="preserve"> </w:t>
      </w:r>
      <w:r>
        <w:rPr>
          <w:spacing w:val="-4"/>
          <w:sz w:val="21"/>
          <w:szCs w:val="21"/>
        </w:rPr>
        <w:t>合同</w:t>
      </w:r>
    </w:p>
    <w:p>
      <w:pPr>
        <w:pStyle w:val="11"/>
        <w:spacing w:before="75" w:line="278" w:lineRule="auto"/>
        <w:ind w:left="21" w:right="39" w:firstLine="434"/>
        <w:rPr>
          <w:sz w:val="21"/>
          <w:szCs w:val="21"/>
        </w:rPr>
      </w:pPr>
      <w:r>
        <w:fldChar w:fldCharType="begin"/>
      </w:r>
      <w:r>
        <w:instrText xml:space="preserve"> HYPERLINK "1.1.1.8" </w:instrText>
      </w:r>
      <w:r>
        <w:fldChar w:fldCharType="separate"/>
      </w:r>
      <w:r>
        <w:rPr>
          <w:sz w:val="21"/>
          <w:szCs w:val="21"/>
        </w:rPr>
        <w:t>1.1.1.8</w:t>
      </w:r>
      <w:r>
        <w:rPr>
          <w:sz w:val="21"/>
          <w:szCs w:val="21"/>
        </w:rPr>
        <w:fldChar w:fldCharType="end"/>
      </w:r>
      <w:r>
        <w:rPr>
          <w:sz w:val="21"/>
          <w:szCs w:val="21"/>
        </w:rPr>
        <w:t xml:space="preserve"> 其他合同文件包括：合同协议书、中标通知书、投标函及其附录、发包人要求、</w:t>
      </w:r>
      <w:r>
        <w:rPr>
          <w:spacing w:val="3"/>
          <w:sz w:val="21"/>
          <w:szCs w:val="21"/>
        </w:rPr>
        <w:t xml:space="preserve"> </w:t>
      </w:r>
      <w:r>
        <w:rPr>
          <w:spacing w:val="-2"/>
          <w:sz w:val="21"/>
          <w:szCs w:val="21"/>
        </w:rPr>
        <w:t>技术标准以及其他合同文件。</w:t>
      </w:r>
    </w:p>
    <w:p>
      <w:pPr>
        <w:pStyle w:val="11"/>
        <w:spacing w:before="28" w:line="221" w:lineRule="auto"/>
        <w:ind w:left="455"/>
        <w:outlineLvl w:val="2"/>
        <w:rPr>
          <w:sz w:val="21"/>
          <w:szCs w:val="21"/>
        </w:rPr>
      </w:pPr>
      <w:r>
        <w:rPr>
          <w:spacing w:val="-6"/>
          <w:sz w:val="21"/>
          <w:szCs w:val="21"/>
        </w:rPr>
        <w:t>1.3</w:t>
      </w:r>
      <w:r>
        <w:rPr>
          <w:spacing w:val="12"/>
          <w:sz w:val="21"/>
          <w:szCs w:val="21"/>
        </w:rPr>
        <w:t xml:space="preserve"> </w:t>
      </w:r>
      <w:r>
        <w:rPr>
          <w:spacing w:val="-6"/>
          <w:sz w:val="21"/>
          <w:szCs w:val="21"/>
        </w:rPr>
        <w:t>法律</w:t>
      </w:r>
    </w:p>
    <w:p>
      <w:pPr>
        <w:pStyle w:val="11"/>
        <w:spacing w:before="81" w:line="281" w:lineRule="auto"/>
        <w:ind w:left="19" w:firstLine="420"/>
        <w:jc w:val="both"/>
        <w:rPr>
          <w:sz w:val="21"/>
          <w:szCs w:val="21"/>
        </w:rPr>
      </w:pPr>
      <w:r>
        <w:rPr>
          <w:spacing w:val="-14"/>
          <w:sz w:val="21"/>
          <w:szCs w:val="21"/>
        </w:rPr>
        <w:t>适用于合同的其他规范性文件：</w:t>
      </w:r>
      <w:r>
        <w:rPr>
          <w:spacing w:val="-14"/>
          <w:sz w:val="21"/>
          <w:szCs w:val="21"/>
          <w:u w:val="single" w:color="auto"/>
        </w:rPr>
        <w:t>《中华人民共和国民法典》、《中华人民共和国建筑法》和《建</w:t>
      </w:r>
      <w:r>
        <w:rPr>
          <w:spacing w:val="13"/>
          <w:sz w:val="21"/>
          <w:szCs w:val="21"/>
        </w:rPr>
        <w:t xml:space="preserve"> </w:t>
      </w:r>
      <w:r>
        <w:rPr>
          <w:spacing w:val="-4"/>
          <w:sz w:val="21"/>
          <w:szCs w:val="21"/>
          <w:u w:val="single" w:color="auto"/>
        </w:rPr>
        <w:t>设工程勘察设计市场管理规定》；国家及地方有关建设工程勘察设计管理法规和规章；建设工程</w:t>
      </w:r>
      <w:r>
        <w:rPr>
          <w:spacing w:val="16"/>
          <w:sz w:val="21"/>
          <w:szCs w:val="21"/>
        </w:rPr>
        <w:t xml:space="preserve"> </w:t>
      </w:r>
      <w:r>
        <w:rPr>
          <w:spacing w:val="-5"/>
          <w:sz w:val="21"/>
          <w:szCs w:val="21"/>
          <w:u w:val="single" w:color="auto"/>
        </w:rPr>
        <w:t>批准文件；《广西壮族自治区工程建设其他费用定额</w:t>
      </w:r>
      <w:r>
        <w:rPr>
          <w:spacing w:val="-6"/>
          <w:sz w:val="21"/>
          <w:szCs w:val="21"/>
          <w:u w:val="single" w:color="auto"/>
        </w:rPr>
        <w:t>》（桂建标〔2018〕37号)等。</w:t>
      </w:r>
    </w:p>
    <w:p>
      <w:pPr>
        <w:pStyle w:val="11"/>
        <w:spacing w:before="29" w:line="221" w:lineRule="auto"/>
        <w:ind w:left="455"/>
        <w:outlineLvl w:val="2"/>
        <w:rPr>
          <w:sz w:val="21"/>
          <w:szCs w:val="21"/>
        </w:rPr>
      </w:pPr>
      <w:r>
        <w:rPr>
          <w:spacing w:val="-5"/>
          <w:sz w:val="21"/>
          <w:szCs w:val="21"/>
        </w:rPr>
        <w:t>1.4</w:t>
      </w:r>
      <w:r>
        <w:rPr>
          <w:spacing w:val="13"/>
          <w:sz w:val="21"/>
          <w:szCs w:val="21"/>
        </w:rPr>
        <w:t xml:space="preserve"> </w:t>
      </w:r>
      <w:r>
        <w:rPr>
          <w:spacing w:val="-5"/>
          <w:sz w:val="21"/>
          <w:szCs w:val="21"/>
        </w:rPr>
        <w:t>技术标准</w:t>
      </w:r>
    </w:p>
    <w:p>
      <w:pPr>
        <w:pStyle w:val="11"/>
        <w:spacing w:before="81" w:line="255" w:lineRule="auto"/>
        <w:ind w:left="21" w:right="4" w:firstLine="434"/>
        <w:rPr>
          <w:sz w:val="21"/>
          <w:szCs w:val="21"/>
        </w:rPr>
      </w:pPr>
      <w:r>
        <w:rPr>
          <w:sz w:val="21"/>
          <w:szCs w:val="21"/>
        </w:rPr>
        <w:t>1.4.1 适用于工程的技术标准包括：</w:t>
      </w:r>
      <w:r>
        <w:rPr>
          <w:sz w:val="21"/>
          <w:szCs w:val="21"/>
          <w:u w:val="single" w:color="auto"/>
        </w:rPr>
        <w:t>国家及地方有关建设工程勘察设计现行规范、规则、</w:t>
      </w:r>
      <w:r>
        <w:rPr>
          <w:spacing w:val="-68"/>
          <w:sz w:val="21"/>
          <w:szCs w:val="21"/>
          <w:u w:val="single" w:color="auto"/>
        </w:rPr>
        <w:t xml:space="preserve"> </w:t>
      </w:r>
      <w:r>
        <w:rPr>
          <w:sz w:val="21"/>
          <w:szCs w:val="21"/>
        </w:rPr>
        <w:t xml:space="preserve"> </w:t>
      </w:r>
      <w:r>
        <w:rPr>
          <w:spacing w:val="-3"/>
          <w:sz w:val="21"/>
          <w:szCs w:val="21"/>
          <w:u w:val="single" w:color="auto"/>
        </w:rPr>
        <w:t>规程</w:t>
      </w:r>
      <w:r>
        <w:rPr>
          <w:spacing w:val="-3"/>
          <w:sz w:val="21"/>
          <w:szCs w:val="21"/>
        </w:rPr>
        <w:t>。</w:t>
      </w:r>
    </w:p>
    <w:p>
      <w:pPr>
        <w:pStyle w:val="11"/>
        <w:spacing w:before="80" w:line="254" w:lineRule="auto"/>
        <w:ind w:left="441" w:right="3155" w:firstLine="14"/>
        <w:rPr>
          <w:spacing w:val="-1"/>
          <w:sz w:val="21"/>
          <w:szCs w:val="21"/>
        </w:rPr>
      </w:pPr>
      <w:r>
        <w:rPr>
          <w:spacing w:val="-4"/>
          <w:sz w:val="21"/>
          <w:szCs w:val="21"/>
        </w:rPr>
        <w:t>1.4.2</w:t>
      </w:r>
      <w:r>
        <w:rPr>
          <w:spacing w:val="39"/>
          <w:sz w:val="21"/>
          <w:szCs w:val="21"/>
        </w:rPr>
        <w:t xml:space="preserve"> </w:t>
      </w:r>
      <w:r>
        <w:rPr>
          <w:spacing w:val="-4"/>
          <w:sz w:val="21"/>
          <w:szCs w:val="21"/>
        </w:rPr>
        <w:t>国外技术标准原文版本和中文译本的提供方：</w:t>
      </w:r>
      <w:r>
        <w:rPr>
          <w:spacing w:val="-4"/>
          <w:sz w:val="21"/>
          <w:szCs w:val="21"/>
          <w:u w:val="single" w:color="auto"/>
        </w:rPr>
        <w:t>/</w:t>
      </w:r>
      <w:r>
        <w:rPr>
          <w:spacing w:val="-4"/>
          <w:sz w:val="21"/>
          <w:szCs w:val="21"/>
        </w:rPr>
        <w:t>；</w:t>
      </w:r>
      <w:r>
        <w:rPr>
          <w:sz w:val="21"/>
          <w:szCs w:val="21"/>
        </w:rPr>
        <w:t xml:space="preserve"> </w:t>
      </w:r>
      <w:r>
        <w:rPr>
          <w:spacing w:val="-1"/>
          <w:sz w:val="21"/>
          <w:szCs w:val="21"/>
        </w:rPr>
        <w:t>提供国外技术标准的名称：</w:t>
      </w:r>
      <w:r>
        <w:rPr>
          <w:spacing w:val="-1"/>
          <w:sz w:val="21"/>
          <w:szCs w:val="21"/>
          <w:u w:val="single" w:color="auto"/>
        </w:rPr>
        <w:t>/</w:t>
      </w:r>
      <w:r>
        <w:rPr>
          <w:spacing w:val="-1"/>
          <w:sz w:val="21"/>
          <w:szCs w:val="21"/>
        </w:rPr>
        <w:t>；</w:t>
      </w:r>
    </w:p>
    <w:p>
      <w:pPr>
        <w:pStyle w:val="11"/>
        <w:spacing w:before="80" w:line="254" w:lineRule="auto"/>
        <w:ind w:left="441" w:right="3155" w:firstLine="14"/>
        <w:rPr>
          <w:spacing w:val="-4"/>
          <w:sz w:val="21"/>
          <w:szCs w:val="21"/>
        </w:rPr>
      </w:pPr>
      <w:r>
        <w:rPr>
          <w:spacing w:val="-4"/>
          <w:sz w:val="21"/>
          <w:szCs w:val="21"/>
        </w:rPr>
        <w:t>提供国外技术标准的份数：</w:t>
      </w:r>
      <w:r>
        <w:rPr>
          <w:spacing w:val="-4"/>
          <w:sz w:val="21"/>
          <w:szCs w:val="21"/>
          <w:u w:val="single" w:color="auto"/>
        </w:rPr>
        <w:t>/</w:t>
      </w:r>
      <w:r>
        <w:rPr>
          <w:spacing w:val="-4"/>
          <w:sz w:val="21"/>
          <w:szCs w:val="21"/>
        </w:rPr>
        <w:t>；</w:t>
      </w:r>
    </w:p>
    <w:p>
      <w:pPr>
        <w:pStyle w:val="11"/>
        <w:spacing w:before="80" w:line="254" w:lineRule="auto"/>
        <w:ind w:left="441" w:right="3155" w:firstLine="14"/>
        <w:rPr>
          <w:sz w:val="21"/>
          <w:szCs w:val="21"/>
        </w:rPr>
      </w:pPr>
      <w:r>
        <w:rPr>
          <w:spacing w:val="-4"/>
          <w:sz w:val="21"/>
          <w:szCs w:val="21"/>
        </w:rPr>
        <w:t>提供国外技术标准的时间：</w:t>
      </w:r>
      <w:r>
        <w:rPr>
          <w:spacing w:val="-4"/>
          <w:sz w:val="21"/>
          <w:szCs w:val="21"/>
          <w:u w:val="single" w:color="auto"/>
        </w:rPr>
        <w:t>/</w:t>
      </w:r>
      <w:r>
        <w:rPr>
          <w:spacing w:val="-4"/>
          <w:sz w:val="21"/>
          <w:szCs w:val="21"/>
        </w:rPr>
        <w:t>；</w:t>
      </w:r>
    </w:p>
    <w:p>
      <w:pPr>
        <w:pStyle w:val="11"/>
        <w:spacing w:before="33" w:line="220" w:lineRule="auto"/>
        <w:ind w:left="441"/>
        <w:rPr>
          <w:sz w:val="21"/>
          <w:szCs w:val="21"/>
        </w:rPr>
      </w:pPr>
      <w:r>
        <w:rPr>
          <w:spacing w:val="-1"/>
          <w:sz w:val="21"/>
          <w:szCs w:val="21"/>
        </w:rPr>
        <w:t>提供国外技术标准的费用承担：</w:t>
      </w:r>
      <w:r>
        <w:rPr>
          <w:spacing w:val="-1"/>
          <w:sz w:val="21"/>
          <w:szCs w:val="21"/>
          <w:u w:val="single" w:color="auto"/>
        </w:rPr>
        <w:t>/</w:t>
      </w:r>
      <w:r>
        <w:rPr>
          <w:spacing w:val="-1"/>
          <w:sz w:val="21"/>
          <w:szCs w:val="21"/>
        </w:rPr>
        <w:t>。</w:t>
      </w:r>
    </w:p>
    <w:p>
      <w:pPr>
        <w:pStyle w:val="11"/>
        <w:spacing w:before="78" w:line="278" w:lineRule="auto"/>
        <w:ind w:left="22" w:right="3" w:firstLine="433"/>
        <w:rPr>
          <w:sz w:val="21"/>
          <w:szCs w:val="21"/>
        </w:rPr>
      </w:pPr>
      <w:r>
        <w:rPr>
          <w:spacing w:val="1"/>
          <w:sz w:val="21"/>
          <w:szCs w:val="21"/>
        </w:rPr>
        <w:t>1.4.3 发包人对工程的技术标准和功能要求的特殊要求：</w:t>
      </w:r>
      <w:r>
        <w:rPr>
          <w:spacing w:val="1"/>
          <w:sz w:val="21"/>
          <w:szCs w:val="21"/>
          <w:u w:val="single" w:color="auto"/>
        </w:rPr>
        <w:t>符合国家规定的工程技</w:t>
      </w:r>
      <w:r>
        <w:rPr>
          <w:sz w:val="21"/>
          <w:szCs w:val="21"/>
          <w:u w:val="single" w:color="auto"/>
        </w:rPr>
        <w:t>术质量标</w:t>
      </w:r>
      <w:r>
        <w:rPr>
          <w:sz w:val="21"/>
          <w:szCs w:val="21"/>
        </w:rPr>
        <w:t xml:space="preserve"> </w:t>
      </w:r>
      <w:r>
        <w:rPr>
          <w:sz w:val="21"/>
          <w:szCs w:val="21"/>
          <w:u w:val="single" w:color="auto"/>
        </w:rPr>
        <w:t>准、技术规范及规程要求，并通过有关行政主管部门</w:t>
      </w:r>
      <w:r>
        <w:rPr>
          <w:spacing w:val="-1"/>
          <w:sz w:val="21"/>
          <w:szCs w:val="21"/>
          <w:u w:val="single" w:color="auto"/>
        </w:rPr>
        <w:t>审批或备案</w:t>
      </w:r>
      <w:r>
        <w:rPr>
          <w:spacing w:val="-1"/>
          <w:sz w:val="21"/>
          <w:szCs w:val="21"/>
        </w:rPr>
        <w:t>。</w:t>
      </w:r>
    </w:p>
    <w:p>
      <w:pPr>
        <w:pStyle w:val="11"/>
        <w:spacing w:before="28" w:line="221" w:lineRule="auto"/>
        <w:ind w:left="455"/>
        <w:outlineLvl w:val="2"/>
        <w:rPr>
          <w:sz w:val="21"/>
          <w:szCs w:val="21"/>
        </w:rPr>
      </w:pPr>
      <w:r>
        <w:rPr>
          <w:spacing w:val="-2"/>
          <w:sz w:val="21"/>
          <w:szCs w:val="21"/>
        </w:rPr>
        <w:t>1.5 合同文件的优先顺序</w:t>
      </w:r>
    </w:p>
    <w:p>
      <w:pPr>
        <w:pStyle w:val="11"/>
        <w:spacing w:before="81" w:line="275" w:lineRule="auto"/>
        <w:ind w:left="19" w:right="4" w:firstLine="421"/>
        <w:rPr>
          <w:sz w:val="21"/>
          <w:szCs w:val="21"/>
        </w:rPr>
      </w:pPr>
      <w:r>
        <w:rPr>
          <w:spacing w:val="1"/>
          <w:sz w:val="21"/>
          <w:szCs w:val="21"/>
        </w:rPr>
        <w:t>合同文件组成及优先顺序为：</w:t>
      </w:r>
      <w:r>
        <w:rPr>
          <w:spacing w:val="1"/>
          <w:sz w:val="21"/>
          <w:szCs w:val="21"/>
          <w:u w:val="single" w:color="auto"/>
        </w:rPr>
        <w:t>合同协议书、中标通知书、投标函及其附录、专用合同条款</w:t>
      </w:r>
      <w:r>
        <w:rPr>
          <w:spacing w:val="13"/>
          <w:sz w:val="21"/>
          <w:szCs w:val="21"/>
        </w:rPr>
        <w:t xml:space="preserve"> </w:t>
      </w:r>
      <w:r>
        <w:rPr>
          <w:sz w:val="21"/>
          <w:szCs w:val="21"/>
          <w:u w:val="single" w:color="auto"/>
        </w:rPr>
        <w:t>及其附件、通用合同条款、发包人要求、技术标准以及其他合同</w:t>
      </w:r>
      <w:r>
        <w:rPr>
          <w:spacing w:val="-1"/>
          <w:sz w:val="21"/>
          <w:szCs w:val="21"/>
          <w:u w:val="single" w:color="auto"/>
        </w:rPr>
        <w:t>文件。</w:t>
      </w:r>
      <w:r>
        <w:rPr>
          <w:sz w:val="21"/>
          <w:szCs w:val="21"/>
          <w:u w:val="single" w:color="auto"/>
        </w:rPr>
        <w:t xml:space="preserve">   </w:t>
      </w:r>
    </w:p>
    <w:p>
      <w:pPr>
        <w:pStyle w:val="11"/>
        <w:spacing w:before="34" w:line="223" w:lineRule="auto"/>
        <w:ind w:left="455"/>
        <w:outlineLvl w:val="2"/>
        <w:rPr>
          <w:sz w:val="21"/>
          <w:szCs w:val="21"/>
        </w:rPr>
      </w:pPr>
      <w:r>
        <w:rPr>
          <w:spacing w:val="-6"/>
          <w:sz w:val="21"/>
          <w:szCs w:val="21"/>
        </w:rPr>
        <w:t>1.6</w:t>
      </w:r>
      <w:r>
        <w:rPr>
          <w:spacing w:val="12"/>
          <w:sz w:val="21"/>
          <w:szCs w:val="21"/>
        </w:rPr>
        <w:t xml:space="preserve"> </w:t>
      </w:r>
      <w:r>
        <w:rPr>
          <w:spacing w:val="-6"/>
          <w:sz w:val="21"/>
          <w:szCs w:val="21"/>
        </w:rPr>
        <w:t>联络</w:t>
      </w:r>
    </w:p>
    <w:p>
      <w:pPr>
        <w:pStyle w:val="11"/>
        <w:spacing w:before="75" w:line="256" w:lineRule="auto"/>
        <w:ind w:left="22" w:right="31" w:firstLine="433"/>
        <w:rPr>
          <w:sz w:val="21"/>
          <w:szCs w:val="21"/>
        </w:rPr>
      </w:pPr>
      <w:r>
        <w:rPr>
          <w:spacing w:val="-1"/>
          <w:sz w:val="21"/>
          <w:szCs w:val="21"/>
        </w:rPr>
        <w:t>1.6.1 发包人和设计人应当在</w:t>
      </w:r>
      <w:r>
        <w:rPr>
          <w:spacing w:val="36"/>
          <w:sz w:val="21"/>
          <w:szCs w:val="21"/>
          <w:u w:val="single" w:color="auto"/>
        </w:rPr>
        <w:t xml:space="preserve">  </w:t>
      </w:r>
      <w:r>
        <w:rPr>
          <w:spacing w:val="-1"/>
          <w:sz w:val="21"/>
          <w:szCs w:val="21"/>
          <w:u w:val="single" w:color="auto"/>
        </w:rPr>
        <w:t xml:space="preserve">5 </w:t>
      </w:r>
      <w:r>
        <w:rPr>
          <w:spacing w:val="-1"/>
          <w:sz w:val="21"/>
          <w:szCs w:val="21"/>
        </w:rPr>
        <w:t>天内将与合</w:t>
      </w:r>
      <w:r>
        <w:rPr>
          <w:spacing w:val="-2"/>
          <w:sz w:val="21"/>
          <w:szCs w:val="21"/>
        </w:rPr>
        <w:t>同有关的通知、批准、证明、证书、指示、</w:t>
      </w:r>
      <w:r>
        <w:rPr>
          <w:sz w:val="21"/>
          <w:szCs w:val="21"/>
        </w:rPr>
        <w:t xml:space="preserve"> 指令、要求、请求、同意、确定和决定等书面函件送达对</w:t>
      </w:r>
      <w:r>
        <w:rPr>
          <w:spacing w:val="-1"/>
          <w:sz w:val="21"/>
          <w:szCs w:val="21"/>
        </w:rPr>
        <w:t>方当事人。</w:t>
      </w:r>
    </w:p>
    <w:p>
      <w:pPr>
        <w:pStyle w:val="11"/>
        <w:spacing w:before="78" w:line="221" w:lineRule="auto"/>
        <w:ind w:left="455"/>
        <w:rPr>
          <w:sz w:val="21"/>
          <w:szCs w:val="21"/>
        </w:rPr>
      </w:pPr>
      <w:r>
        <w:rPr>
          <w:spacing w:val="-2"/>
          <w:sz w:val="21"/>
          <w:szCs w:val="21"/>
        </w:rPr>
        <w:t>1.6.2 发包人与设计人联系信息</w:t>
      </w:r>
    </w:p>
    <w:p>
      <w:pPr>
        <w:pStyle w:val="11"/>
        <w:spacing w:before="80" w:line="221" w:lineRule="auto"/>
        <w:ind w:left="443"/>
        <w:rPr>
          <w:sz w:val="21"/>
          <w:szCs w:val="21"/>
        </w:rPr>
      </w:pPr>
      <w:r>
        <w:rPr>
          <w:spacing w:val="-1"/>
          <w:sz w:val="21"/>
          <w:szCs w:val="21"/>
        </w:rPr>
        <w:t>发包人接收文件的地点：</w:t>
      </w:r>
      <w:r>
        <w:rPr>
          <w:spacing w:val="4"/>
          <w:sz w:val="21"/>
          <w:szCs w:val="21"/>
          <w:u w:val="single" w:color="auto"/>
        </w:rPr>
        <w:t xml:space="preserve">                      </w:t>
      </w:r>
      <w:r>
        <w:rPr>
          <w:spacing w:val="-1"/>
          <w:sz w:val="21"/>
          <w:szCs w:val="21"/>
        </w:rPr>
        <w:t>；</w:t>
      </w:r>
    </w:p>
    <w:p>
      <w:pPr>
        <w:pStyle w:val="11"/>
        <w:spacing w:before="78" w:line="277" w:lineRule="auto"/>
        <w:ind w:left="443" w:right="2421"/>
        <w:rPr>
          <w:sz w:val="21"/>
          <w:szCs w:val="21"/>
        </w:rPr>
      </w:pPr>
      <w:r>
        <w:rPr>
          <w:spacing w:val="-1"/>
          <w:sz w:val="21"/>
          <w:szCs w:val="21"/>
        </w:rPr>
        <w:t>发包人指定的接收人为</w:t>
      </w:r>
      <w:r>
        <w:rPr>
          <w:spacing w:val="-24"/>
          <w:sz w:val="21"/>
          <w:szCs w:val="21"/>
        </w:rPr>
        <w:t>：</w:t>
      </w:r>
      <w:r>
        <w:rPr>
          <w:sz w:val="21"/>
          <w:szCs w:val="21"/>
          <w:u w:val="single" w:color="auto"/>
        </w:rPr>
        <w:t xml:space="preserve">                                </w:t>
      </w:r>
      <w:r>
        <w:rPr>
          <w:spacing w:val="-24"/>
          <w:sz w:val="21"/>
          <w:szCs w:val="21"/>
        </w:rPr>
        <w:t>；</w:t>
      </w:r>
      <w:r>
        <w:rPr>
          <w:spacing w:val="1"/>
          <w:sz w:val="21"/>
          <w:szCs w:val="21"/>
        </w:rPr>
        <w:t xml:space="preserve"> </w:t>
      </w:r>
      <w:r>
        <w:rPr>
          <w:spacing w:val="-1"/>
          <w:sz w:val="21"/>
          <w:szCs w:val="21"/>
        </w:rPr>
        <w:t>发包人指定的联系电话及传真号码</w:t>
      </w:r>
      <w:r>
        <w:rPr>
          <w:spacing w:val="-22"/>
          <w:sz w:val="21"/>
          <w:szCs w:val="21"/>
        </w:rPr>
        <w:t>：</w:t>
      </w:r>
      <w:r>
        <w:rPr>
          <w:sz w:val="21"/>
          <w:szCs w:val="21"/>
          <w:u w:val="single" w:color="auto"/>
        </w:rPr>
        <w:t xml:space="preserve">                      </w:t>
      </w:r>
      <w:r>
        <w:rPr>
          <w:spacing w:val="-22"/>
          <w:sz w:val="21"/>
          <w:szCs w:val="21"/>
        </w:rPr>
        <w:t>；</w:t>
      </w:r>
    </w:p>
    <w:p>
      <w:pPr>
        <w:pStyle w:val="11"/>
        <w:spacing w:before="28" w:line="284" w:lineRule="auto"/>
        <w:ind w:left="443" w:right="726"/>
        <w:jc w:val="both"/>
        <w:rPr>
          <w:sz w:val="21"/>
          <w:szCs w:val="21"/>
        </w:rPr>
        <w:sectPr>
          <w:footerReference r:id="rId9" w:type="default"/>
          <w:pgSz w:w="11907" w:h="16841"/>
          <w:pgMar w:top="400" w:right="1431" w:bottom="1015" w:left="1785" w:header="0" w:footer="851" w:gutter="0"/>
          <w:cols w:space="720" w:num="1"/>
        </w:sectPr>
      </w:pPr>
      <w:r>
        <w:rPr>
          <w:spacing w:val="-4"/>
          <w:sz w:val="21"/>
          <w:szCs w:val="21"/>
        </w:rPr>
        <w:t>发包人指定的电子邮箱：</w:t>
      </w:r>
      <w:r>
        <w:rPr>
          <w:spacing w:val="2"/>
          <w:sz w:val="21"/>
          <w:szCs w:val="21"/>
          <w:u w:val="single" w:color="auto"/>
        </w:rPr>
        <w:t xml:space="preserve">                                               </w:t>
      </w:r>
      <w:r>
        <w:rPr>
          <w:spacing w:val="-4"/>
          <w:sz w:val="21"/>
          <w:szCs w:val="21"/>
        </w:rPr>
        <w:t>。</w:t>
      </w:r>
      <w:r>
        <w:rPr>
          <w:spacing w:val="16"/>
          <w:sz w:val="21"/>
          <w:szCs w:val="21"/>
        </w:rPr>
        <w:t xml:space="preserve"> </w:t>
      </w:r>
      <w:r>
        <w:rPr>
          <w:spacing w:val="-1"/>
          <w:sz w:val="21"/>
          <w:szCs w:val="21"/>
        </w:rPr>
        <w:t>设计人接收文件的地点</w:t>
      </w:r>
      <w:r>
        <w:rPr>
          <w:spacing w:val="-17"/>
          <w:sz w:val="21"/>
          <w:szCs w:val="21"/>
        </w:rPr>
        <w:t>：</w:t>
      </w:r>
      <w:r>
        <w:rPr>
          <w:sz w:val="21"/>
          <w:szCs w:val="21"/>
          <w:u w:val="single" w:color="auto"/>
        </w:rPr>
        <w:t xml:space="preserve">                                                </w:t>
      </w:r>
      <w:r>
        <w:rPr>
          <w:spacing w:val="-17"/>
          <w:sz w:val="21"/>
          <w:szCs w:val="21"/>
        </w:rPr>
        <w:t>；</w:t>
      </w:r>
      <w:r>
        <w:rPr>
          <w:spacing w:val="1"/>
          <w:sz w:val="21"/>
          <w:szCs w:val="21"/>
        </w:rPr>
        <w:t xml:space="preserve"> </w:t>
      </w:r>
      <w:r>
        <w:rPr>
          <w:spacing w:val="-1"/>
          <w:sz w:val="21"/>
          <w:szCs w:val="21"/>
        </w:rPr>
        <w:t>设计人指定的接收人为</w:t>
      </w:r>
      <w:r>
        <w:rPr>
          <w:spacing w:val="-17"/>
          <w:sz w:val="21"/>
          <w:szCs w:val="21"/>
        </w:rPr>
        <w:t>：</w:t>
      </w:r>
      <w:r>
        <w:rPr>
          <w:sz w:val="21"/>
          <w:szCs w:val="21"/>
          <w:u w:val="single" w:color="auto"/>
        </w:rPr>
        <w:t xml:space="preserve">                                                </w:t>
      </w:r>
      <w:r>
        <w:rPr>
          <w:spacing w:val="-17"/>
          <w:sz w:val="21"/>
          <w:szCs w:val="21"/>
        </w:rPr>
        <w:t>；</w:t>
      </w:r>
      <w:r>
        <w:rPr>
          <w:spacing w:val="1"/>
          <w:sz w:val="21"/>
          <w:szCs w:val="21"/>
        </w:rPr>
        <w:t xml:space="preserve"> </w:t>
      </w:r>
      <w:r>
        <w:rPr>
          <w:spacing w:val="-1"/>
          <w:sz w:val="21"/>
          <w:szCs w:val="21"/>
        </w:rPr>
        <w:t>设计人指定的联系电话及传真号码</w:t>
      </w:r>
      <w:r>
        <w:rPr>
          <w:spacing w:val="-22"/>
          <w:sz w:val="21"/>
          <w:szCs w:val="21"/>
        </w:rPr>
        <w:t>：</w:t>
      </w:r>
      <w:r>
        <w:rPr>
          <w:sz w:val="21"/>
          <w:szCs w:val="21"/>
          <w:u w:val="single" w:color="auto"/>
        </w:rPr>
        <w:t xml:space="preserve">                                      </w:t>
      </w:r>
      <w:r>
        <w:rPr>
          <w:spacing w:val="-22"/>
          <w:sz w:val="21"/>
          <w:szCs w:val="21"/>
        </w:rPr>
        <w:t>；</w:t>
      </w:r>
    </w:p>
    <w:p>
      <w:pPr>
        <w:spacing w:line="262" w:lineRule="auto"/>
        <w:rPr>
          <w:rFonts w:ascii="Arial"/>
          <w:sz w:val="21"/>
        </w:rPr>
      </w:pPr>
    </w:p>
    <w:p>
      <w:pPr>
        <w:pStyle w:val="11"/>
        <w:spacing w:before="68" w:line="221" w:lineRule="auto"/>
        <w:ind w:left="443"/>
        <w:rPr>
          <w:sz w:val="21"/>
          <w:szCs w:val="21"/>
        </w:rPr>
      </w:pPr>
      <w:r>
        <w:rPr>
          <w:sz w:val="21"/>
          <w:szCs w:val="21"/>
        </w:rPr>
        <w:t>设计人指定的电子邮箱：</w:t>
      </w:r>
      <w:r>
        <w:rPr>
          <w:sz w:val="21"/>
          <w:szCs w:val="21"/>
          <w:u w:val="single" w:color="auto"/>
        </w:rPr>
        <w:t xml:space="preserve">                                    </w:t>
      </w:r>
      <w:r>
        <w:rPr>
          <w:spacing w:val="-1"/>
          <w:sz w:val="21"/>
          <w:szCs w:val="21"/>
          <w:u w:val="single" w:color="auto"/>
        </w:rPr>
        <w:t xml:space="preserve">            </w:t>
      </w:r>
      <w:r>
        <w:rPr>
          <w:spacing w:val="-1"/>
          <w:sz w:val="21"/>
          <w:szCs w:val="21"/>
        </w:rPr>
        <w:t>。</w:t>
      </w:r>
    </w:p>
    <w:p>
      <w:pPr>
        <w:pStyle w:val="11"/>
        <w:spacing w:before="79" w:line="221" w:lineRule="auto"/>
        <w:ind w:left="455"/>
        <w:outlineLvl w:val="2"/>
        <w:rPr>
          <w:sz w:val="21"/>
          <w:szCs w:val="21"/>
        </w:rPr>
      </w:pPr>
      <w:r>
        <w:rPr>
          <w:spacing w:val="-6"/>
          <w:sz w:val="21"/>
          <w:szCs w:val="21"/>
        </w:rPr>
        <w:t>1.8</w:t>
      </w:r>
      <w:r>
        <w:rPr>
          <w:spacing w:val="12"/>
          <w:sz w:val="21"/>
          <w:szCs w:val="21"/>
        </w:rPr>
        <w:t xml:space="preserve"> </w:t>
      </w:r>
      <w:r>
        <w:rPr>
          <w:spacing w:val="-6"/>
          <w:sz w:val="21"/>
          <w:szCs w:val="21"/>
        </w:rPr>
        <w:t>保密</w:t>
      </w:r>
    </w:p>
    <w:p>
      <w:pPr>
        <w:pStyle w:val="11"/>
        <w:spacing w:before="77" w:line="281" w:lineRule="auto"/>
        <w:ind w:left="19" w:right="3" w:firstLine="421"/>
        <w:jc w:val="both"/>
        <w:rPr>
          <w:sz w:val="21"/>
          <w:szCs w:val="21"/>
        </w:rPr>
      </w:pPr>
      <w:r>
        <w:rPr>
          <w:spacing w:val="1"/>
          <w:sz w:val="21"/>
          <w:szCs w:val="21"/>
        </w:rPr>
        <w:t>保密义务：</w:t>
      </w:r>
      <w:r>
        <w:rPr>
          <w:spacing w:val="1"/>
          <w:sz w:val="21"/>
          <w:szCs w:val="21"/>
          <w:u w:val="single" w:color="auto"/>
        </w:rPr>
        <w:t>双方均应保护对方的知识产权，未经对方同意，任何一方均不得对对方的资料</w:t>
      </w:r>
      <w:r>
        <w:rPr>
          <w:spacing w:val="12"/>
          <w:sz w:val="21"/>
          <w:szCs w:val="21"/>
        </w:rPr>
        <w:t xml:space="preserve"> </w:t>
      </w:r>
      <w:r>
        <w:rPr>
          <w:spacing w:val="1"/>
          <w:sz w:val="21"/>
          <w:szCs w:val="21"/>
        </w:rPr>
        <w:t>及文件擅自修改、复制或向第三方转让或用于本合同项目外的项目。如发生以上情况，泄密方</w:t>
      </w:r>
      <w:r>
        <w:rPr>
          <w:spacing w:val="10"/>
          <w:sz w:val="21"/>
          <w:szCs w:val="21"/>
        </w:rPr>
        <w:t xml:space="preserve"> </w:t>
      </w:r>
      <w:r>
        <w:rPr>
          <w:spacing w:val="-1"/>
          <w:sz w:val="21"/>
          <w:szCs w:val="21"/>
          <w:u w:val="single" w:color="auto"/>
        </w:rPr>
        <w:t>承担一切由此引起的后果并承担赔偿责任</w:t>
      </w:r>
      <w:r>
        <w:rPr>
          <w:spacing w:val="-1"/>
          <w:sz w:val="21"/>
          <w:szCs w:val="21"/>
        </w:rPr>
        <w:t>。</w:t>
      </w:r>
    </w:p>
    <w:p>
      <w:pPr>
        <w:pStyle w:val="11"/>
        <w:spacing w:before="32" w:line="221" w:lineRule="auto"/>
        <w:ind w:left="445"/>
        <w:outlineLvl w:val="1"/>
        <w:rPr>
          <w:sz w:val="21"/>
          <w:szCs w:val="21"/>
        </w:rPr>
      </w:pPr>
      <w:r>
        <w:rPr>
          <w:b/>
          <w:bCs/>
          <w:spacing w:val="-6"/>
          <w:sz w:val="21"/>
          <w:szCs w:val="21"/>
        </w:rPr>
        <w:t>2.</w:t>
      </w:r>
      <w:r>
        <w:rPr>
          <w:spacing w:val="15"/>
          <w:sz w:val="21"/>
          <w:szCs w:val="21"/>
        </w:rPr>
        <w:t xml:space="preserve"> </w:t>
      </w:r>
      <w:r>
        <w:rPr>
          <w:b/>
          <w:bCs/>
          <w:spacing w:val="-6"/>
          <w:sz w:val="21"/>
          <w:szCs w:val="21"/>
        </w:rPr>
        <w:t>发包人</w:t>
      </w:r>
    </w:p>
    <w:p>
      <w:pPr>
        <w:pStyle w:val="11"/>
        <w:spacing w:before="76" w:line="221" w:lineRule="auto"/>
        <w:ind w:left="442"/>
        <w:outlineLvl w:val="2"/>
        <w:rPr>
          <w:sz w:val="21"/>
          <w:szCs w:val="21"/>
        </w:rPr>
      </w:pPr>
      <w:r>
        <w:rPr>
          <w:spacing w:val="-1"/>
          <w:sz w:val="21"/>
          <w:szCs w:val="21"/>
        </w:rPr>
        <w:t>2.1 发包人一般义务</w:t>
      </w:r>
    </w:p>
    <w:p>
      <w:pPr>
        <w:pStyle w:val="11"/>
        <w:spacing w:before="80" w:line="221" w:lineRule="auto"/>
        <w:ind w:left="442"/>
        <w:rPr>
          <w:sz w:val="21"/>
          <w:szCs w:val="21"/>
        </w:rPr>
      </w:pPr>
      <w:r>
        <w:rPr>
          <w:spacing w:val="-3"/>
          <w:sz w:val="21"/>
          <w:szCs w:val="21"/>
        </w:rPr>
        <w:t>2.1.1 发包人其他义务：</w:t>
      </w:r>
    </w:p>
    <w:p>
      <w:pPr>
        <w:pStyle w:val="11"/>
        <w:spacing w:before="79" w:line="281" w:lineRule="auto"/>
        <w:ind w:left="21" w:firstLine="421"/>
        <w:rPr>
          <w:sz w:val="21"/>
          <w:szCs w:val="21"/>
        </w:rPr>
      </w:pPr>
      <w:r>
        <w:fldChar w:fldCharType="begin"/>
      </w:r>
      <w:r>
        <w:instrText xml:space="preserve"> HYPERLINK "2.1.1.1" </w:instrText>
      </w:r>
      <w:r>
        <w:fldChar w:fldCharType="separate"/>
      </w:r>
      <w:r>
        <w:rPr>
          <w:spacing w:val="-3"/>
          <w:sz w:val="21"/>
          <w:szCs w:val="21"/>
          <w:u w:val="single" w:color="auto"/>
        </w:rPr>
        <w:t>2.1.1.1</w:t>
      </w:r>
      <w:r>
        <w:rPr>
          <w:spacing w:val="-3"/>
          <w:sz w:val="21"/>
          <w:szCs w:val="21"/>
          <w:u w:val="single" w:color="auto"/>
        </w:rPr>
        <w:fldChar w:fldCharType="end"/>
      </w:r>
      <w:r>
        <w:rPr>
          <w:spacing w:val="-28"/>
          <w:sz w:val="21"/>
          <w:szCs w:val="21"/>
          <w:u w:val="single" w:color="auto"/>
        </w:rPr>
        <w:t xml:space="preserve"> </w:t>
      </w:r>
      <w:r>
        <w:rPr>
          <w:spacing w:val="-3"/>
          <w:sz w:val="21"/>
          <w:szCs w:val="21"/>
          <w:u w:val="single" w:color="auto"/>
        </w:rPr>
        <w:t>发包人应在规定的时间内向设计人提交基础资料及文件，并对其完整性、正确性及</w:t>
      </w:r>
      <w:r>
        <w:rPr>
          <w:sz w:val="21"/>
          <w:szCs w:val="21"/>
        </w:rPr>
        <w:t xml:space="preserve"> </w:t>
      </w:r>
      <w:r>
        <w:rPr>
          <w:spacing w:val="1"/>
          <w:sz w:val="21"/>
          <w:szCs w:val="21"/>
          <w:u w:val="single" w:color="auto"/>
        </w:rPr>
        <w:t>时限负责。发包人不得要求设计人违反国家有关标准进行设计。发包人提交上述资料及文件超</w:t>
      </w:r>
      <w:r>
        <w:rPr>
          <w:spacing w:val="8"/>
          <w:sz w:val="21"/>
          <w:szCs w:val="21"/>
        </w:rPr>
        <w:t xml:space="preserve"> </w:t>
      </w:r>
      <w:r>
        <w:rPr>
          <w:spacing w:val="-1"/>
          <w:sz w:val="21"/>
          <w:szCs w:val="21"/>
          <w:u w:val="single" w:color="auto"/>
        </w:rPr>
        <w:t>过规定期限</w:t>
      </w:r>
      <w:r>
        <w:rPr>
          <w:spacing w:val="-28"/>
          <w:sz w:val="21"/>
          <w:szCs w:val="21"/>
          <w:u w:val="single" w:color="auto"/>
        </w:rPr>
        <w:t xml:space="preserve"> </w:t>
      </w:r>
      <w:r>
        <w:rPr>
          <w:spacing w:val="-1"/>
          <w:sz w:val="21"/>
          <w:szCs w:val="21"/>
          <w:u w:val="single" w:color="auto"/>
        </w:rPr>
        <w:t>15</w:t>
      </w:r>
      <w:r>
        <w:rPr>
          <w:spacing w:val="-43"/>
          <w:sz w:val="21"/>
          <w:szCs w:val="21"/>
          <w:u w:val="single" w:color="auto"/>
        </w:rPr>
        <w:t xml:space="preserve"> </w:t>
      </w:r>
      <w:r>
        <w:rPr>
          <w:spacing w:val="-1"/>
          <w:sz w:val="21"/>
          <w:szCs w:val="21"/>
          <w:u w:val="single" w:color="auto"/>
        </w:rPr>
        <w:t>天以内，设计人按本合同第七条规定的交付设计文件</w:t>
      </w:r>
      <w:r>
        <w:rPr>
          <w:spacing w:val="-2"/>
          <w:sz w:val="21"/>
          <w:szCs w:val="21"/>
          <w:u w:val="single" w:color="auto"/>
        </w:rPr>
        <w:t>时间顺延。</w:t>
      </w:r>
    </w:p>
    <w:p>
      <w:pPr>
        <w:pStyle w:val="11"/>
        <w:spacing w:before="32" w:line="281" w:lineRule="auto"/>
        <w:ind w:left="20" w:firstLine="422"/>
        <w:rPr>
          <w:sz w:val="21"/>
          <w:szCs w:val="21"/>
        </w:rPr>
      </w:pPr>
      <w:r>
        <w:fldChar w:fldCharType="begin"/>
      </w:r>
      <w:r>
        <w:instrText xml:space="preserve"> HYPERLINK "2.1.1.2" </w:instrText>
      </w:r>
      <w:r>
        <w:fldChar w:fldCharType="separate"/>
      </w:r>
      <w:r>
        <w:rPr>
          <w:spacing w:val="-3"/>
          <w:sz w:val="21"/>
          <w:szCs w:val="21"/>
          <w:u w:val="single" w:color="auto"/>
        </w:rPr>
        <w:t>2.1.1.2</w:t>
      </w:r>
      <w:r>
        <w:rPr>
          <w:spacing w:val="-3"/>
          <w:sz w:val="21"/>
          <w:szCs w:val="21"/>
          <w:u w:val="single" w:color="auto"/>
        </w:rPr>
        <w:fldChar w:fldCharType="end"/>
      </w:r>
      <w:r>
        <w:rPr>
          <w:spacing w:val="-28"/>
          <w:sz w:val="21"/>
          <w:szCs w:val="21"/>
          <w:u w:val="single" w:color="auto"/>
        </w:rPr>
        <w:t xml:space="preserve"> </w:t>
      </w:r>
      <w:r>
        <w:rPr>
          <w:spacing w:val="-3"/>
          <w:sz w:val="21"/>
          <w:szCs w:val="21"/>
          <w:u w:val="single" w:color="auto"/>
        </w:rPr>
        <w:t>发包人变更委托设计项目、规模、条件或因提交的资料错误，或所提交资料作较大</w:t>
      </w:r>
      <w:r>
        <w:rPr>
          <w:sz w:val="21"/>
          <w:szCs w:val="21"/>
        </w:rPr>
        <w:t xml:space="preserve"> </w:t>
      </w:r>
      <w:r>
        <w:rPr>
          <w:spacing w:val="-1"/>
          <w:sz w:val="21"/>
          <w:szCs w:val="21"/>
          <w:u w:val="single" w:color="auto"/>
        </w:rPr>
        <w:t>修改,以致造成设计人设计返工时，双方需另行协商签订补充协议（或</w:t>
      </w:r>
      <w:r>
        <w:rPr>
          <w:spacing w:val="-2"/>
          <w:sz w:val="21"/>
          <w:szCs w:val="21"/>
          <w:u w:val="single" w:color="auto"/>
        </w:rPr>
        <w:t>另订合同）重新明确有关</w:t>
      </w:r>
      <w:r>
        <w:rPr>
          <w:sz w:val="21"/>
          <w:szCs w:val="21"/>
        </w:rPr>
        <w:t xml:space="preserve"> </w:t>
      </w:r>
      <w:r>
        <w:rPr>
          <w:spacing w:val="-2"/>
          <w:sz w:val="21"/>
          <w:szCs w:val="21"/>
          <w:u w:val="single" w:color="auto"/>
        </w:rPr>
        <w:t>条款。</w:t>
      </w:r>
    </w:p>
    <w:p>
      <w:pPr>
        <w:pStyle w:val="11"/>
        <w:spacing w:before="29" w:line="278" w:lineRule="auto"/>
        <w:ind w:left="20" w:firstLine="422"/>
        <w:rPr>
          <w:sz w:val="21"/>
          <w:szCs w:val="21"/>
          <w:u w:val="single" w:color="auto"/>
        </w:rPr>
      </w:pPr>
      <w:r>
        <w:fldChar w:fldCharType="begin"/>
      </w:r>
      <w:r>
        <w:instrText xml:space="preserve"> HYPERLINK "2.1.1.3" </w:instrText>
      </w:r>
      <w:r>
        <w:fldChar w:fldCharType="separate"/>
      </w:r>
      <w:r>
        <w:rPr>
          <w:spacing w:val="-3"/>
          <w:sz w:val="21"/>
          <w:szCs w:val="21"/>
          <w:u w:val="single" w:color="auto"/>
        </w:rPr>
        <w:t>2.1.1.3</w:t>
      </w:r>
      <w:r>
        <w:rPr>
          <w:spacing w:val="-3"/>
          <w:sz w:val="21"/>
          <w:szCs w:val="21"/>
          <w:u w:val="single" w:color="auto"/>
        </w:rPr>
        <w:fldChar w:fldCharType="end"/>
      </w:r>
      <w:r>
        <w:rPr>
          <w:spacing w:val="-29"/>
          <w:sz w:val="21"/>
          <w:szCs w:val="21"/>
          <w:u w:val="single" w:color="auto"/>
        </w:rPr>
        <w:t xml:space="preserve"> </w:t>
      </w:r>
      <w:r>
        <w:rPr>
          <w:spacing w:val="-3"/>
          <w:sz w:val="21"/>
          <w:szCs w:val="21"/>
          <w:u w:val="single" w:color="auto"/>
        </w:rPr>
        <w:t>在合同履行期间，工程停建而终止合同或发包人要求解除合同时，设计人未开始设</w:t>
      </w:r>
      <w:r>
        <w:rPr>
          <w:sz w:val="21"/>
          <w:szCs w:val="21"/>
        </w:rPr>
        <w:t xml:space="preserve"> </w:t>
      </w:r>
      <w:r>
        <w:rPr>
          <w:sz w:val="21"/>
          <w:szCs w:val="21"/>
          <w:u w:val="single" w:color="auto"/>
        </w:rPr>
        <w:t>计工作的，不退还发包人已付的定金；已开始设计工作的，按实际完成的工作量结算设计费。</w:t>
      </w:r>
    </w:p>
    <w:p>
      <w:pPr>
        <w:pStyle w:val="11"/>
        <w:spacing w:before="29" w:line="278" w:lineRule="auto"/>
        <w:ind w:left="20" w:firstLine="422"/>
        <w:rPr>
          <w:sz w:val="21"/>
          <w:szCs w:val="21"/>
        </w:rPr>
      </w:pPr>
      <w:r>
        <w:fldChar w:fldCharType="begin"/>
      </w:r>
      <w:r>
        <w:instrText xml:space="preserve"> HYPERLINK "2.1.1.4" </w:instrText>
      </w:r>
      <w:r>
        <w:fldChar w:fldCharType="separate"/>
      </w:r>
      <w:r>
        <w:rPr>
          <w:spacing w:val="-1"/>
          <w:sz w:val="21"/>
          <w:szCs w:val="21"/>
          <w:u w:val="single" w:color="auto"/>
        </w:rPr>
        <w:t>2.1.1.4</w:t>
      </w:r>
      <w:r>
        <w:rPr>
          <w:spacing w:val="-1"/>
          <w:sz w:val="21"/>
          <w:szCs w:val="21"/>
          <w:u w:val="single" w:color="auto"/>
        </w:rPr>
        <w:fldChar w:fldCharType="end"/>
      </w:r>
      <w:r>
        <w:rPr>
          <w:spacing w:val="-25"/>
          <w:sz w:val="21"/>
          <w:szCs w:val="21"/>
          <w:u w:val="single" w:color="auto"/>
        </w:rPr>
        <w:t xml:space="preserve"> </w:t>
      </w:r>
      <w:r>
        <w:rPr>
          <w:spacing w:val="-1"/>
          <w:sz w:val="21"/>
          <w:szCs w:val="21"/>
          <w:u w:val="single" w:color="auto"/>
        </w:rPr>
        <w:t>发包人应按本合同规定的金额和日期向设计人支付设计费。</w:t>
      </w:r>
    </w:p>
    <w:p>
      <w:pPr>
        <w:pStyle w:val="11"/>
        <w:spacing w:before="80" w:line="276" w:lineRule="auto"/>
        <w:ind w:left="21" w:firstLine="421"/>
        <w:rPr>
          <w:sz w:val="21"/>
          <w:szCs w:val="21"/>
        </w:rPr>
      </w:pPr>
      <w:r>
        <w:fldChar w:fldCharType="begin"/>
      </w:r>
      <w:r>
        <w:instrText xml:space="preserve"> HYPERLINK "2.1.1.5" </w:instrText>
      </w:r>
      <w:r>
        <w:fldChar w:fldCharType="separate"/>
      </w:r>
      <w:r>
        <w:rPr>
          <w:spacing w:val="-3"/>
          <w:sz w:val="21"/>
          <w:szCs w:val="21"/>
          <w:u w:val="single" w:color="auto"/>
        </w:rPr>
        <w:t>2.1.1.5</w:t>
      </w:r>
      <w:r>
        <w:rPr>
          <w:spacing w:val="-3"/>
          <w:sz w:val="21"/>
          <w:szCs w:val="21"/>
          <w:u w:val="single" w:color="auto"/>
        </w:rPr>
        <w:fldChar w:fldCharType="end"/>
      </w:r>
      <w:r>
        <w:rPr>
          <w:spacing w:val="-3"/>
          <w:sz w:val="21"/>
          <w:szCs w:val="21"/>
          <w:u w:val="single" w:color="auto"/>
        </w:rPr>
        <w:t>发包人要求设计人比合同规定时间提前交付设计文件时，须征得设计人同意，不得</w:t>
      </w:r>
      <w:r>
        <w:rPr>
          <w:spacing w:val="2"/>
          <w:sz w:val="21"/>
          <w:szCs w:val="21"/>
          <w:u w:val="single" w:color="auto"/>
        </w:rPr>
        <w:t>严重背离合理设计周期。</w:t>
      </w:r>
    </w:p>
    <w:p>
      <w:pPr>
        <w:pStyle w:val="11"/>
        <w:spacing w:before="33" w:line="221" w:lineRule="auto"/>
        <w:ind w:left="442"/>
        <w:outlineLvl w:val="2"/>
        <w:rPr>
          <w:sz w:val="21"/>
          <w:szCs w:val="21"/>
        </w:rPr>
      </w:pPr>
      <w:r>
        <w:rPr>
          <w:spacing w:val="-3"/>
          <w:sz w:val="21"/>
          <w:szCs w:val="21"/>
        </w:rPr>
        <w:t>2.2</w:t>
      </w:r>
      <w:r>
        <w:rPr>
          <w:spacing w:val="15"/>
          <w:sz w:val="21"/>
          <w:szCs w:val="21"/>
        </w:rPr>
        <w:t xml:space="preserve"> </w:t>
      </w:r>
      <w:r>
        <w:rPr>
          <w:spacing w:val="-3"/>
          <w:sz w:val="21"/>
          <w:szCs w:val="21"/>
        </w:rPr>
        <w:t>发包人代表</w:t>
      </w:r>
    </w:p>
    <w:p>
      <w:pPr>
        <w:pStyle w:val="11"/>
        <w:spacing w:before="77" w:line="221" w:lineRule="auto"/>
        <w:ind w:left="443"/>
        <w:rPr>
          <w:sz w:val="21"/>
          <w:szCs w:val="21"/>
        </w:rPr>
      </w:pPr>
      <w:r>
        <w:rPr>
          <w:spacing w:val="-2"/>
          <w:sz w:val="21"/>
          <w:szCs w:val="21"/>
        </w:rPr>
        <w:t>发包人代表：</w:t>
      </w:r>
    </w:p>
    <w:p>
      <w:pPr>
        <w:pStyle w:val="11"/>
        <w:spacing w:before="84" w:line="285" w:lineRule="auto"/>
        <w:ind w:left="440" w:right="722"/>
        <w:rPr>
          <w:spacing w:val="1"/>
          <w:sz w:val="21"/>
          <w:szCs w:val="21"/>
        </w:rPr>
      </w:pPr>
      <w:r>
        <w:rPr>
          <w:spacing w:val="-7"/>
          <w:sz w:val="21"/>
          <w:szCs w:val="21"/>
        </w:rPr>
        <w:t>姓</w:t>
      </w:r>
      <w:r>
        <w:rPr>
          <w:spacing w:val="3"/>
          <w:sz w:val="21"/>
          <w:szCs w:val="21"/>
        </w:rPr>
        <w:t xml:space="preserve">    </w:t>
      </w:r>
      <w:r>
        <w:rPr>
          <w:spacing w:val="-7"/>
          <w:sz w:val="21"/>
          <w:szCs w:val="21"/>
        </w:rPr>
        <w:t>名</w:t>
      </w:r>
      <w:r>
        <w:rPr>
          <w:spacing w:val="-18"/>
          <w:sz w:val="21"/>
          <w:szCs w:val="21"/>
        </w:rPr>
        <w:t>：</w:t>
      </w:r>
      <w:r>
        <w:rPr>
          <w:sz w:val="21"/>
          <w:szCs w:val="21"/>
          <w:u w:val="single" w:color="auto"/>
        </w:rPr>
        <w:t xml:space="preserve">                                                            </w:t>
      </w:r>
      <w:r>
        <w:rPr>
          <w:spacing w:val="-18"/>
          <w:sz w:val="21"/>
          <w:szCs w:val="21"/>
        </w:rPr>
        <w:t>；</w:t>
      </w:r>
      <w:r>
        <w:rPr>
          <w:spacing w:val="1"/>
          <w:sz w:val="21"/>
          <w:szCs w:val="21"/>
        </w:rPr>
        <w:t xml:space="preserve"> </w:t>
      </w:r>
    </w:p>
    <w:p>
      <w:pPr>
        <w:pStyle w:val="11"/>
        <w:spacing w:before="84" w:line="285" w:lineRule="auto"/>
        <w:ind w:left="440" w:right="722"/>
        <w:rPr>
          <w:spacing w:val="-15"/>
          <w:sz w:val="21"/>
          <w:szCs w:val="21"/>
        </w:rPr>
      </w:pPr>
      <w:r>
        <w:rPr>
          <w:spacing w:val="-2"/>
          <w:sz w:val="21"/>
          <w:szCs w:val="21"/>
        </w:rPr>
        <w:t>身份证号</w:t>
      </w:r>
      <w:r>
        <w:rPr>
          <w:spacing w:val="-15"/>
          <w:sz w:val="21"/>
          <w:szCs w:val="21"/>
        </w:rPr>
        <w:t>：</w:t>
      </w:r>
      <w:r>
        <w:rPr>
          <w:sz w:val="21"/>
          <w:szCs w:val="21"/>
          <w:u w:val="single" w:color="auto"/>
        </w:rPr>
        <w:t xml:space="preserve">                                                            </w:t>
      </w:r>
      <w:r>
        <w:rPr>
          <w:spacing w:val="-15"/>
          <w:sz w:val="21"/>
          <w:szCs w:val="21"/>
        </w:rPr>
        <w:t>；</w:t>
      </w:r>
    </w:p>
    <w:p>
      <w:pPr>
        <w:pStyle w:val="11"/>
        <w:spacing w:before="84" w:line="285" w:lineRule="auto"/>
        <w:ind w:left="440" w:right="722"/>
        <w:rPr>
          <w:spacing w:val="3"/>
          <w:sz w:val="21"/>
          <w:szCs w:val="21"/>
        </w:rPr>
      </w:pPr>
      <w:r>
        <w:rPr>
          <w:spacing w:val="1"/>
          <w:sz w:val="21"/>
          <w:szCs w:val="21"/>
        </w:rPr>
        <w:t xml:space="preserve"> </w:t>
      </w:r>
      <w:r>
        <w:rPr>
          <w:spacing w:val="-7"/>
          <w:sz w:val="21"/>
          <w:szCs w:val="21"/>
        </w:rPr>
        <w:t>职</w:t>
      </w:r>
      <w:r>
        <w:rPr>
          <w:spacing w:val="2"/>
          <w:sz w:val="21"/>
          <w:szCs w:val="21"/>
        </w:rPr>
        <w:t xml:space="preserve">    </w:t>
      </w:r>
      <w:r>
        <w:rPr>
          <w:spacing w:val="-7"/>
          <w:sz w:val="21"/>
          <w:szCs w:val="21"/>
        </w:rPr>
        <w:t>务</w:t>
      </w:r>
      <w:r>
        <w:rPr>
          <w:spacing w:val="-17"/>
          <w:sz w:val="21"/>
          <w:szCs w:val="21"/>
        </w:rPr>
        <w:t>：</w:t>
      </w:r>
      <w:r>
        <w:rPr>
          <w:sz w:val="21"/>
          <w:szCs w:val="21"/>
          <w:u w:val="single" w:color="auto"/>
        </w:rPr>
        <w:t xml:space="preserve">                                                            </w:t>
      </w:r>
      <w:r>
        <w:rPr>
          <w:spacing w:val="-17"/>
          <w:sz w:val="21"/>
          <w:szCs w:val="21"/>
        </w:rPr>
        <w:t>；</w:t>
      </w:r>
      <w:r>
        <w:rPr>
          <w:spacing w:val="3"/>
          <w:sz w:val="21"/>
          <w:szCs w:val="21"/>
        </w:rPr>
        <w:t xml:space="preserve"> </w:t>
      </w:r>
    </w:p>
    <w:p>
      <w:pPr>
        <w:pStyle w:val="11"/>
        <w:spacing w:before="84" w:line="285" w:lineRule="auto"/>
        <w:ind w:left="440" w:right="722"/>
        <w:rPr>
          <w:spacing w:val="-15"/>
          <w:sz w:val="21"/>
          <w:szCs w:val="21"/>
        </w:rPr>
      </w:pPr>
      <w:r>
        <w:rPr>
          <w:spacing w:val="-2"/>
          <w:sz w:val="21"/>
          <w:szCs w:val="21"/>
        </w:rPr>
        <w:t>联系电话</w:t>
      </w:r>
      <w:r>
        <w:rPr>
          <w:spacing w:val="-15"/>
          <w:sz w:val="21"/>
          <w:szCs w:val="21"/>
        </w:rPr>
        <w:t>：</w:t>
      </w:r>
      <w:r>
        <w:rPr>
          <w:sz w:val="21"/>
          <w:szCs w:val="21"/>
          <w:u w:val="single" w:color="auto"/>
        </w:rPr>
        <w:t xml:space="preserve">                                                            </w:t>
      </w:r>
      <w:r>
        <w:rPr>
          <w:spacing w:val="-15"/>
          <w:sz w:val="21"/>
          <w:szCs w:val="21"/>
        </w:rPr>
        <w:t>；</w:t>
      </w:r>
    </w:p>
    <w:p>
      <w:pPr>
        <w:pStyle w:val="11"/>
        <w:spacing w:before="84" w:line="285" w:lineRule="auto"/>
        <w:ind w:left="440" w:right="722"/>
        <w:rPr>
          <w:spacing w:val="1"/>
          <w:sz w:val="21"/>
          <w:szCs w:val="21"/>
        </w:rPr>
      </w:pPr>
      <w:r>
        <w:rPr>
          <w:spacing w:val="1"/>
          <w:sz w:val="21"/>
          <w:szCs w:val="21"/>
        </w:rPr>
        <w:t xml:space="preserve"> </w:t>
      </w:r>
      <w:r>
        <w:rPr>
          <w:spacing w:val="-2"/>
          <w:sz w:val="21"/>
          <w:szCs w:val="21"/>
        </w:rPr>
        <w:t>电子信箱</w:t>
      </w:r>
      <w:r>
        <w:rPr>
          <w:spacing w:val="-15"/>
          <w:sz w:val="21"/>
          <w:szCs w:val="21"/>
        </w:rPr>
        <w:t>：</w:t>
      </w:r>
      <w:r>
        <w:rPr>
          <w:sz w:val="21"/>
          <w:szCs w:val="21"/>
          <w:u w:val="single" w:color="auto"/>
        </w:rPr>
        <w:t xml:space="preserve">                                                            </w:t>
      </w:r>
      <w:r>
        <w:rPr>
          <w:spacing w:val="-15"/>
          <w:sz w:val="21"/>
          <w:szCs w:val="21"/>
        </w:rPr>
        <w:t>；</w:t>
      </w:r>
      <w:r>
        <w:rPr>
          <w:spacing w:val="1"/>
          <w:sz w:val="21"/>
          <w:szCs w:val="21"/>
        </w:rPr>
        <w:t xml:space="preserve"> </w:t>
      </w:r>
    </w:p>
    <w:p>
      <w:pPr>
        <w:pStyle w:val="11"/>
        <w:spacing w:before="84" w:line="285" w:lineRule="auto"/>
        <w:ind w:left="440" w:right="722"/>
        <w:rPr>
          <w:sz w:val="21"/>
          <w:szCs w:val="21"/>
        </w:rPr>
      </w:pPr>
      <w:r>
        <w:rPr>
          <w:spacing w:val="-7"/>
          <w:sz w:val="21"/>
          <w:szCs w:val="21"/>
        </w:rPr>
        <w:t>通信地址：</w:t>
      </w:r>
      <w:r>
        <w:rPr>
          <w:sz w:val="21"/>
          <w:szCs w:val="21"/>
          <w:u w:val="single" w:color="auto"/>
        </w:rPr>
        <w:t xml:space="preserve">                                                            </w:t>
      </w:r>
      <w:r>
        <w:rPr>
          <w:spacing w:val="-7"/>
          <w:sz w:val="21"/>
          <w:szCs w:val="21"/>
        </w:rPr>
        <w:t>。</w:t>
      </w:r>
    </w:p>
    <w:p>
      <w:pPr>
        <w:pStyle w:val="11"/>
        <w:spacing w:before="32" w:line="276" w:lineRule="auto"/>
        <w:ind w:left="23" w:right="2" w:firstLine="419"/>
        <w:rPr>
          <w:sz w:val="21"/>
          <w:szCs w:val="21"/>
        </w:rPr>
      </w:pPr>
      <w:r>
        <w:rPr>
          <w:spacing w:val="1"/>
          <w:sz w:val="21"/>
          <w:szCs w:val="21"/>
        </w:rPr>
        <w:t>发包人对发包人代表的授权范围如下：</w:t>
      </w:r>
      <w:r>
        <w:rPr>
          <w:spacing w:val="1"/>
          <w:sz w:val="21"/>
          <w:szCs w:val="21"/>
          <w:u w:val="single" w:color="auto"/>
        </w:rPr>
        <w:t>发包人代表在发包人的授权范围内，负责处理合同</w:t>
      </w:r>
      <w:r>
        <w:rPr>
          <w:spacing w:val="11"/>
          <w:sz w:val="21"/>
          <w:szCs w:val="21"/>
        </w:rPr>
        <w:t xml:space="preserve"> </w:t>
      </w:r>
      <w:r>
        <w:rPr>
          <w:spacing w:val="-1"/>
          <w:sz w:val="21"/>
          <w:szCs w:val="21"/>
          <w:u w:val="single" w:color="auto"/>
        </w:rPr>
        <w:t>履行过程中与发包人有关的具体事宜。</w:t>
      </w:r>
    </w:p>
    <w:p>
      <w:pPr>
        <w:pStyle w:val="11"/>
        <w:spacing w:before="32" w:line="220" w:lineRule="auto"/>
        <w:ind w:left="443"/>
        <w:rPr>
          <w:sz w:val="21"/>
          <w:szCs w:val="21"/>
        </w:rPr>
      </w:pPr>
      <w:r>
        <w:rPr>
          <w:spacing w:val="-1"/>
          <w:sz w:val="21"/>
          <w:szCs w:val="21"/>
        </w:rPr>
        <w:t>发包人更换发包人代表的，应当提前</w:t>
      </w:r>
      <w:r>
        <w:rPr>
          <w:spacing w:val="-1"/>
          <w:sz w:val="21"/>
          <w:szCs w:val="21"/>
          <w:u w:val="single" w:color="auto"/>
        </w:rPr>
        <w:t xml:space="preserve">  7</w:t>
      </w:r>
      <w:r>
        <w:rPr>
          <w:spacing w:val="-42"/>
          <w:sz w:val="21"/>
          <w:szCs w:val="21"/>
          <w:u w:val="single" w:color="auto"/>
        </w:rPr>
        <w:t xml:space="preserve"> </w:t>
      </w:r>
      <w:r>
        <w:rPr>
          <w:spacing w:val="-1"/>
          <w:sz w:val="21"/>
          <w:szCs w:val="21"/>
        </w:rPr>
        <w:t>天书面通</w:t>
      </w:r>
      <w:r>
        <w:rPr>
          <w:spacing w:val="-2"/>
          <w:sz w:val="21"/>
          <w:szCs w:val="21"/>
        </w:rPr>
        <w:t>知设计人。</w:t>
      </w:r>
    </w:p>
    <w:p>
      <w:pPr>
        <w:pStyle w:val="11"/>
        <w:spacing w:before="78" w:line="221" w:lineRule="auto"/>
        <w:ind w:left="442"/>
        <w:outlineLvl w:val="2"/>
        <w:rPr>
          <w:sz w:val="21"/>
          <w:szCs w:val="21"/>
        </w:rPr>
      </w:pPr>
      <w:r>
        <w:rPr>
          <w:spacing w:val="-3"/>
          <w:sz w:val="21"/>
          <w:szCs w:val="21"/>
        </w:rPr>
        <w:t>2.3</w:t>
      </w:r>
      <w:r>
        <w:rPr>
          <w:spacing w:val="15"/>
          <w:sz w:val="21"/>
          <w:szCs w:val="21"/>
        </w:rPr>
        <w:t xml:space="preserve"> </w:t>
      </w:r>
      <w:r>
        <w:rPr>
          <w:spacing w:val="-3"/>
          <w:sz w:val="21"/>
          <w:szCs w:val="21"/>
        </w:rPr>
        <w:t>发包人决定</w:t>
      </w:r>
    </w:p>
    <w:p>
      <w:pPr>
        <w:pStyle w:val="11"/>
        <w:spacing w:before="81" w:line="220" w:lineRule="auto"/>
        <w:ind w:left="442"/>
        <w:rPr>
          <w:sz w:val="21"/>
          <w:szCs w:val="21"/>
        </w:rPr>
        <w:sectPr>
          <w:footerReference r:id="rId10" w:type="default"/>
          <w:pgSz w:w="11907" w:h="16841"/>
          <w:pgMar w:top="400" w:right="1433" w:bottom="1015" w:left="1785" w:header="0" w:footer="851" w:gutter="0"/>
          <w:cols w:space="720" w:num="1"/>
        </w:sectPr>
      </w:pPr>
      <w:r>
        <w:rPr>
          <w:spacing w:val="-2"/>
          <w:sz w:val="21"/>
          <w:szCs w:val="21"/>
        </w:rPr>
        <w:t>2.3.2 发包人应在</w:t>
      </w:r>
      <w:r>
        <w:rPr>
          <w:spacing w:val="43"/>
          <w:sz w:val="21"/>
          <w:szCs w:val="21"/>
          <w:u w:val="single" w:color="auto"/>
        </w:rPr>
        <w:t xml:space="preserve">  </w:t>
      </w:r>
      <w:r>
        <w:rPr>
          <w:spacing w:val="-2"/>
          <w:sz w:val="21"/>
          <w:szCs w:val="21"/>
          <w:u w:val="single" w:color="auto"/>
        </w:rPr>
        <w:t>15</w:t>
      </w:r>
      <w:r>
        <w:rPr>
          <w:spacing w:val="25"/>
          <w:sz w:val="21"/>
          <w:szCs w:val="21"/>
          <w:u w:val="single" w:color="auto"/>
        </w:rPr>
        <w:t xml:space="preserve">  </w:t>
      </w:r>
      <w:r>
        <w:rPr>
          <w:spacing w:val="-93"/>
          <w:sz w:val="21"/>
          <w:szCs w:val="21"/>
        </w:rPr>
        <w:t xml:space="preserve"> </w:t>
      </w:r>
      <w:r>
        <w:rPr>
          <w:spacing w:val="-2"/>
          <w:sz w:val="21"/>
          <w:szCs w:val="21"/>
        </w:rPr>
        <w:t>天内对设计人书面提出的事项作出书面决定。</w:t>
      </w:r>
    </w:p>
    <w:p>
      <w:pPr>
        <w:spacing w:line="262" w:lineRule="auto"/>
        <w:ind w:left="0" w:leftChars="0" w:firstLine="0" w:firstLineChars="0"/>
        <w:rPr>
          <w:rFonts w:ascii="Arial"/>
          <w:sz w:val="21"/>
        </w:rPr>
      </w:pPr>
    </w:p>
    <w:p>
      <w:pPr>
        <w:pStyle w:val="11"/>
        <w:spacing w:before="68" w:line="222" w:lineRule="auto"/>
        <w:ind w:left="446"/>
        <w:outlineLvl w:val="1"/>
        <w:rPr>
          <w:sz w:val="21"/>
          <w:szCs w:val="21"/>
        </w:rPr>
      </w:pPr>
      <w:r>
        <w:rPr>
          <w:b/>
          <w:bCs/>
          <w:spacing w:val="-6"/>
          <w:sz w:val="21"/>
          <w:szCs w:val="21"/>
        </w:rPr>
        <w:t>3.</w:t>
      </w:r>
      <w:r>
        <w:rPr>
          <w:spacing w:val="13"/>
          <w:sz w:val="21"/>
          <w:szCs w:val="21"/>
        </w:rPr>
        <w:t xml:space="preserve"> </w:t>
      </w:r>
      <w:r>
        <w:rPr>
          <w:b/>
          <w:bCs/>
          <w:spacing w:val="-6"/>
          <w:sz w:val="21"/>
          <w:szCs w:val="21"/>
        </w:rPr>
        <w:t>设计人</w:t>
      </w:r>
    </w:p>
    <w:p>
      <w:pPr>
        <w:pStyle w:val="11"/>
        <w:spacing w:before="78" w:line="221" w:lineRule="auto"/>
        <w:ind w:left="444"/>
        <w:outlineLvl w:val="2"/>
        <w:rPr>
          <w:sz w:val="21"/>
          <w:szCs w:val="21"/>
        </w:rPr>
      </w:pPr>
      <w:r>
        <w:rPr>
          <w:spacing w:val="-1"/>
          <w:sz w:val="21"/>
          <w:szCs w:val="21"/>
        </w:rPr>
        <w:t>3.1 设计人一般义务</w:t>
      </w:r>
    </w:p>
    <w:p>
      <w:pPr>
        <w:pStyle w:val="11"/>
        <w:spacing w:before="77" w:line="221" w:lineRule="auto"/>
        <w:ind w:left="444"/>
        <w:rPr>
          <w:sz w:val="21"/>
          <w:szCs w:val="21"/>
        </w:rPr>
      </w:pPr>
      <w:r>
        <w:rPr>
          <w:spacing w:val="-1"/>
          <w:sz w:val="21"/>
          <w:szCs w:val="21"/>
        </w:rPr>
        <w:t>3.1.1 设计人</w:t>
      </w:r>
      <w:r>
        <w:rPr>
          <w:spacing w:val="-1"/>
          <w:sz w:val="21"/>
          <w:szCs w:val="21"/>
          <w:u w:val="single" w:color="auto"/>
        </w:rPr>
        <w:t xml:space="preserve">   需    </w:t>
      </w:r>
      <w:r>
        <w:rPr>
          <w:spacing w:val="-1"/>
          <w:sz w:val="21"/>
          <w:szCs w:val="21"/>
        </w:rPr>
        <w:t>（需/不需）配合发包人办理有关许可、批准或备案手续。</w:t>
      </w:r>
    </w:p>
    <w:p>
      <w:pPr>
        <w:pStyle w:val="11"/>
        <w:spacing w:before="79" w:line="221" w:lineRule="auto"/>
        <w:ind w:left="444"/>
        <w:outlineLvl w:val="2"/>
        <w:rPr>
          <w:spacing w:val="-3"/>
          <w:sz w:val="21"/>
          <w:szCs w:val="21"/>
        </w:rPr>
      </w:pPr>
      <w:r>
        <w:rPr>
          <w:spacing w:val="-3"/>
          <w:sz w:val="21"/>
          <w:szCs w:val="21"/>
        </w:rPr>
        <w:t>3.1.2 设计人其他义务：</w:t>
      </w:r>
    </w:p>
    <w:p>
      <w:pPr>
        <w:pStyle w:val="11"/>
        <w:spacing w:before="79" w:line="221" w:lineRule="auto"/>
        <w:ind w:left="444"/>
        <w:outlineLvl w:val="2"/>
        <w:rPr>
          <w:sz w:val="21"/>
          <w:szCs w:val="21"/>
        </w:rPr>
      </w:pPr>
      <w:r>
        <w:fldChar w:fldCharType="begin"/>
      </w:r>
      <w:r>
        <w:instrText xml:space="preserve"> HYPERLINK "3.1.2.1" </w:instrText>
      </w:r>
      <w:r>
        <w:fldChar w:fldCharType="separate"/>
      </w:r>
      <w:r>
        <w:rPr>
          <w:spacing w:val="-6"/>
          <w:sz w:val="21"/>
          <w:szCs w:val="21"/>
        </w:rPr>
        <w:t>3.1.2.1</w:t>
      </w:r>
      <w:r>
        <w:rPr>
          <w:spacing w:val="-6"/>
          <w:sz w:val="21"/>
          <w:szCs w:val="21"/>
        </w:rPr>
        <w:fldChar w:fldCharType="end"/>
      </w:r>
      <w:r>
        <w:rPr>
          <w:spacing w:val="-28"/>
          <w:sz w:val="21"/>
          <w:szCs w:val="21"/>
        </w:rPr>
        <w:t xml:space="preserve"> </w:t>
      </w:r>
      <w:r>
        <w:rPr>
          <w:spacing w:val="-6"/>
          <w:sz w:val="21"/>
          <w:szCs w:val="21"/>
        </w:rPr>
        <w:t>设计人应按国家规定和合同约定的技术规范、标准进行设计，按本合同规定的内容、</w:t>
      </w:r>
    </w:p>
    <w:p>
      <w:pPr>
        <w:pStyle w:val="11"/>
        <w:spacing w:before="81" w:line="221" w:lineRule="auto"/>
        <w:ind w:left="30"/>
        <w:outlineLvl w:val="2"/>
        <w:rPr>
          <w:sz w:val="21"/>
          <w:szCs w:val="21"/>
        </w:rPr>
      </w:pPr>
      <w:r>
        <w:rPr>
          <w:spacing w:val="-1"/>
          <w:sz w:val="21"/>
          <w:szCs w:val="21"/>
        </w:rPr>
        <w:t>时间及份数向发包人交付设计文件（出现</w:t>
      </w:r>
      <w:r>
        <w:rPr>
          <w:spacing w:val="-44"/>
          <w:sz w:val="21"/>
          <w:szCs w:val="21"/>
        </w:rPr>
        <w:t xml:space="preserve"> </w:t>
      </w:r>
      <w:r>
        <w:fldChar w:fldCharType="begin"/>
      </w:r>
      <w:r>
        <w:instrText xml:space="preserve"> HYPERLINK "2.1.1.1" </w:instrText>
      </w:r>
      <w:r>
        <w:fldChar w:fldCharType="separate"/>
      </w:r>
      <w:r>
        <w:rPr>
          <w:spacing w:val="-1"/>
          <w:sz w:val="21"/>
          <w:szCs w:val="21"/>
        </w:rPr>
        <w:t>2.1.1.1</w:t>
      </w:r>
      <w:r>
        <w:rPr>
          <w:spacing w:val="-1"/>
          <w:sz w:val="21"/>
          <w:szCs w:val="21"/>
        </w:rPr>
        <w:fldChar w:fldCharType="end"/>
      </w:r>
      <w:r>
        <w:rPr>
          <w:spacing w:val="-1"/>
          <w:sz w:val="21"/>
          <w:szCs w:val="21"/>
        </w:rPr>
        <w:t>、</w:t>
      </w:r>
      <w:r>
        <w:fldChar w:fldCharType="begin"/>
      </w:r>
      <w:r>
        <w:instrText xml:space="preserve"> HYPERLINK "2.1.1.4" </w:instrText>
      </w:r>
      <w:r>
        <w:fldChar w:fldCharType="separate"/>
      </w:r>
      <w:r>
        <w:rPr>
          <w:spacing w:val="-1"/>
          <w:sz w:val="21"/>
          <w:szCs w:val="21"/>
        </w:rPr>
        <w:t>2.1.1.4</w:t>
      </w:r>
      <w:r>
        <w:rPr>
          <w:spacing w:val="-1"/>
          <w:sz w:val="21"/>
          <w:szCs w:val="21"/>
        </w:rPr>
        <w:fldChar w:fldCharType="end"/>
      </w:r>
      <w:r>
        <w:rPr>
          <w:spacing w:val="-2"/>
          <w:sz w:val="21"/>
          <w:szCs w:val="21"/>
        </w:rPr>
        <w:t>、</w:t>
      </w:r>
      <w:r>
        <w:fldChar w:fldCharType="begin"/>
      </w:r>
      <w:r>
        <w:instrText xml:space="preserve"> HYPERLINK "2.1.1.5" </w:instrText>
      </w:r>
      <w:r>
        <w:fldChar w:fldCharType="separate"/>
      </w:r>
      <w:r>
        <w:rPr>
          <w:spacing w:val="-2"/>
          <w:sz w:val="21"/>
          <w:szCs w:val="21"/>
        </w:rPr>
        <w:t>2.1.1.5</w:t>
      </w:r>
      <w:r>
        <w:rPr>
          <w:spacing w:val="-2"/>
          <w:sz w:val="21"/>
          <w:szCs w:val="21"/>
        </w:rPr>
        <w:fldChar w:fldCharType="end"/>
      </w:r>
      <w:r>
        <w:rPr>
          <w:spacing w:val="-2"/>
          <w:sz w:val="21"/>
          <w:szCs w:val="21"/>
        </w:rPr>
        <w:t>、</w:t>
      </w:r>
      <w:r>
        <w:fldChar w:fldCharType="begin"/>
      </w:r>
      <w:r>
        <w:instrText xml:space="preserve"> HYPERLINK "2.1.1.6" </w:instrText>
      </w:r>
      <w:r>
        <w:fldChar w:fldCharType="separate"/>
      </w:r>
      <w:r>
        <w:rPr>
          <w:spacing w:val="-2"/>
          <w:sz w:val="21"/>
          <w:szCs w:val="21"/>
        </w:rPr>
        <w:t>2.1.1.6</w:t>
      </w:r>
      <w:r>
        <w:rPr>
          <w:spacing w:val="-2"/>
          <w:sz w:val="21"/>
          <w:szCs w:val="21"/>
        </w:rPr>
        <w:fldChar w:fldCharType="end"/>
      </w:r>
      <w:r>
        <w:rPr>
          <w:spacing w:val="-42"/>
          <w:sz w:val="21"/>
          <w:szCs w:val="21"/>
        </w:rPr>
        <w:t xml:space="preserve"> </w:t>
      </w:r>
      <w:r>
        <w:rPr>
          <w:spacing w:val="-2"/>
          <w:sz w:val="21"/>
          <w:szCs w:val="21"/>
        </w:rPr>
        <w:t>规定有关交付</w:t>
      </w:r>
    </w:p>
    <w:p>
      <w:pPr>
        <w:pStyle w:val="11"/>
        <w:spacing w:before="77" w:line="221" w:lineRule="auto"/>
        <w:ind w:left="23"/>
        <w:rPr>
          <w:sz w:val="21"/>
          <w:szCs w:val="21"/>
        </w:rPr>
      </w:pPr>
      <w:r>
        <w:rPr>
          <w:spacing w:val="-5"/>
          <w:sz w:val="21"/>
          <w:szCs w:val="21"/>
        </w:rPr>
        <w:t>设计文件顺延的情况除外）。并对提交的设计文件的质量负责。</w:t>
      </w:r>
    </w:p>
    <w:p>
      <w:pPr>
        <w:pStyle w:val="11"/>
        <w:spacing w:before="80" w:line="220" w:lineRule="auto"/>
        <w:ind w:left="444"/>
        <w:outlineLvl w:val="2"/>
        <w:rPr>
          <w:sz w:val="21"/>
          <w:szCs w:val="21"/>
        </w:rPr>
      </w:pPr>
      <w:r>
        <w:fldChar w:fldCharType="begin"/>
      </w:r>
      <w:r>
        <w:instrText xml:space="preserve"> HYPERLINK "3.1.2.2" </w:instrText>
      </w:r>
      <w:r>
        <w:fldChar w:fldCharType="separate"/>
      </w:r>
      <w:r>
        <w:rPr>
          <w:spacing w:val="-3"/>
          <w:sz w:val="21"/>
          <w:szCs w:val="21"/>
        </w:rPr>
        <w:t>3.1.2.2</w:t>
      </w:r>
      <w:r>
        <w:rPr>
          <w:spacing w:val="-3"/>
          <w:sz w:val="21"/>
          <w:szCs w:val="21"/>
        </w:rPr>
        <w:fldChar w:fldCharType="end"/>
      </w:r>
      <w:r>
        <w:rPr>
          <w:spacing w:val="-29"/>
          <w:sz w:val="21"/>
          <w:szCs w:val="21"/>
        </w:rPr>
        <w:t xml:space="preserve"> </w:t>
      </w:r>
      <w:r>
        <w:rPr>
          <w:spacing w:val="-3"/>
          <w:sz w:val="21"/>
          <w:szCs w:val="21"/>
        </w:rPr>
        <w:t>设计人应对其设计的准确度负责，在设计的基本条件、工艺、工法、规模不变的情</w:t>
      </w:r>
    </w:p>
    <w:p>
      <w:pPr>
        <w:pStyle w:val="11"/>
        <w:spacing w:before="78" w:line="278" w:lineRule="auto"/>
        <w:ind w:left="23" w:right="81" w:hanging="1"/>
        <w:rPr>
          <w:sz w:val="21"/>
          <w:szCs w:val="21"/>
        </w:rPr>
      </w:pPr>
      <w:r>
        <w:rPr>
          <w:spacing w:val="1"/>
          <w:sz w:val="21"/>
          <w:szCs w:val="21"/>
        </w:rPr>
        <w:t>况下，原则上上一阶段的设计工程量应涵盖下一阶段的设计工程量，因工程量变化引起的相邻</w:t>
      </w:r>
      <w:r>
        <w:rPr>
          <w:spacing w:val="7"/>
          <w:sz w:val="21"/>
          <w:szCs w:val="21"/>
        </w:rPr>
        <w:t xml:space="preserve"> </w:t>
      </w:r>
      <w:r>
        <w:rPr>
          <w:spacing w:val="1"/>
          <w:sz w:val="21"/>
          <w:szCs w:val="21"/>
        </w:rPr>
        <w:t>设计阶段的投资变化应控制在±5%以内，量的准确率（与结算工程量比）达到85%以上。</w:t>
      </w:r>
    </w:p>
    <w:p>
      <w:pPr>
        <w:pStyle w:val="11"/>
        <w:spacing w:before="29" w:line="221" w:lineRule="auto"/>
        <w:ind w:left="444"/>
        <w:outlineLvl w:val="2"/>
        <w:rPr>
          <w:sz w:val="21"/>
          <w:szCs w:val="21"/>
        </w:rPr>
      </w:pPr>
      <w:r>
        <w:fldChar w:fldCharType="begin"/>
      </w:r>
      <w:r>
        <w:instrText xml:space="preserve"> HYPERLINK "3.1.2.3" </w:instrText>
      </w:r>
      <w:r>
        <w:fldChar w:fldCharType="separate"/>
      </w:r>
      <w:r>
        <w:rPr>
          <w:spacing w:val="-1"/>
          <w:sz w:val="21"/>
          <w:szCs w:val="21"/>
        </w:rPr>
        <w:t>3.1.2.3</w:t>
      </w:r>
      <w:r>
        <w:rPr>
          <w:spacing w:val="-1"/>
          <w:sz w:val="21"/>
          <w:szCs w:val="21"/>
        </w:rPr>
        <w:fldChar w:fldCharType="end"/>
      </w:r>
      <w:r>
        <w:rPr>
          <w:spacing w:val="-29"/>
          <w:sz w:val="21"/>
          <w:szCs w:val="21"/>
        </w:rPr>
        <w:t xml:space="preserve"> </w:t>
      </w:r>
      <w:r>
        <w:rPr>
          <w:spacing w:val="-1"/>
          <w:sz w:val="21"/>
          <w:szCs w:val="21"/>
        </w:rPr>
        <w:t>设计合理使用年限为按当前国家规范规定的使用年限。</w:t>
      </w:r>
    </w:p>
    <w:p>
      <w:pPr>
        <w:pStyle w:val="11"/>
        <w:spacing w:before="80" w:line="221" w:lineRule="auto"/>
        <w:ind w:left="444"/>
        <w:outlineLvl w:val="2"/>
        <w:rPr>
          <w:sz w:val="21"/>
          <w:szCs w:val="21"/>
        </w:rPr>
      </w:pPr>
      <w:r>
        <w:fldChar w:fldCharType="begin"/>
      </w:r>
      <w:r>
        <w:instrText xml:space="preserve"> HYPERLINK "3.1.2.4" </w:instrText>
      </w:r>
      <w:r>
        <w:fldChar w:fldCharType="separate"/>
      </w:r>
      <w:r>
        <w:rPr>
          <w:spacing w:val="-1"/>
          <w:sz w:val="21"/>
          <w:szCs w:val="21"/>
        </w:rPr>
        <w:t>3.1.2.4</w:t>
      </w:r>
      <w:r>
        <w:rPr>
          <w:spacing w:val="-1"/>
          <w:sz w:val="21"/>
          <w:szCs w:val="21"/>
        </w:rPr>
        <w:fldChar w:fldCharType="end"/>
      </w:r>
      <w:r>
        <w:rPr>
          <w:spacing w:val="-29"/>
          <w:sz w:val="21"/>
          <w:szCs w:val="21"/>
        </w:rPr>
        <w:t xml:space="preserve"> </w:t>
      </w:r>
      <w:r>
        <w:rPr>
          <w:spacing w:val="-1"/>
          <w:sz w:val="21"/>
          <w:szCs w:val="21"/>
        </w:rPr>
        <w:t>设计人对设计文件出现的遗漏或错误负责修改或补充。</w:t>
      </w:r>
    </w:p>
    <w:p>
      <w:pPr>
        <w:pStyle w:val="11"/>
        <w:spacing w:before="77" w:line="221" w:lineRule="auto"/>
        <w:ind w:left="444"/>
        <w:outlineLvl w:val="2"/>
        <w:rPr>
          <w:sz w:val="21"/>
          <w:szCs w:val="21"/>
        </w:rPr>
      </w:pPr>
      <w:r>
        <w:fldChar w:fldCharType="begin"/>
      </w:r>
      <w:r>
        <w:instrText xml:space="preserve"> HYPERLINK "3.1.2.5" </w:instrText>
      </w:r>
      <w:r>
        <w:fldChar w:fldCharType="separate"/>
      </w:r>
      <w:r>
        <w:rPr>
          <w:spacing w:val="-1"/>
          <w:sz w:val="21"/>
          <w:szCs w:val="21"/>
        </w:rPr>
        <w:t>3.1.2.5</w:t>
      </w:r>
      <w:r>
        <w:rPr>
          <w:spacing w:val="-1"/>
          <w:sz w:val="21"/>
          <w:szCs w:val="21"/>
        </w:rPr>
        <w:fldChar w:fldCharType="end"/>
      </w:r>
      <w:r>
        <w:rPr>
          <w:spacing w:val="-41"/>
          <w:sz w:val="21"/>
          <w:szCs w:val="21"/>
        </w:rPr>
        <w:t xml:space="preserve"> </w:t>
      </w:r>
      <w:r>
        <w:rPr>
          <w:spacing w:val="-1"/>
          <w:sz w:val="21"/>
          <w:szCs w:val="21"/>
        </w:rPr>
        <w:t>设计人应按合同约定时间交付设计资料及</w:t>
      </w:r>
      <w:r>
        <w:rPr>
          <w:spacing w:val="-2"/>
          <w:sz w:val="21"/>
          <w:szCs w:val="21"/>
        </w:rPr>
        <w:t>设计文件。</w:t>
      </w:r>
    </w:p>
    <w:p>
      <w:pPr>
        <w:pStyle w:val="11"/>
        <w:spacing w:before="80" w:line="221" w:lineRule="auto"/>
        <w:ind w:left="444"/>
        <w:outlineLvl w:val="2"/>
        <w:rPr>
          <w:sz w:val="21"/>
          <w:szCs w:val="21"/>
        </w:rPr>
      </w:pPr>
      <w:r>
        <w:fldChar w:fldCharType="begin"/>
      </w:r>
      <w:r>
        <w:instrText xml:space="preserve"> HYPERLINK "3.1.2.6" </w:instrText>
      </w:r>
      <w:r>
        <w:fldChar w:fldCharType="separate"/>
      </w:r>
      <w:r>
        <w:rPr>
          <w:spacing w:val="-3"/>
          <w:sz w:val="21"/>
          <w:szCs w:val="21"/>
        </w:rPr>
        <w:t>3.1.2.6</w:t>
      </w:r>
      <w:r>
        <w:rPr>
          <w:spacing w:val="-3"/>
          <w:sz w:val="21"/>
          <w:szCs w:val="21"/>
        </w:rPr>
        <w:fldChar w:fldCharType="end"/>
      </w:r>
      <w:r>
        <w:rPr>
          <w:spacing w:val="-3"/>
          <w:sz w:val="21"/>
          <w:szCs w:val="21"/>
        </w:rPr>
        <w:t>设计人交付设计文件后，按规定参加有关上级的设计审查，并根据审查结论做调整</w:t>
      </w:r>
    </w:p>
    <w:p>
      <w:pPr>
        <w:pStyle w:val="11"/>
        <w:spacing w:before="77" w:line="221" w:lineRule="auto"/>
        <w:ind w:left="20"/>
        <w:rPr>
          <w:sz w:val="21"/>
          <w:szCs w:val="21"/>
        </w:rPr>
      </w:pPr>
      <w:r>
        <w:rPr>
          <w:spacing w:val="-1"/>
          <w:sz w:val="21"/>
          <w:szCs w:val="21"/>
        </w:rPr>
        <w:t>补充，向发包人及施工单位进行设计交底、处理有关设计问题和参加竣工验收。</w:t>
      </w:r>
    </w:p>
    <w:p>
      <w:pPr>
        <w:pStyle w:val="11"/>
        <w:spacing w:before="80" w:line="221" w:lineRule="auto"/>
        <w:ind w:left="444"/>
        <w:outlineLvl w:val="2"/>
        <w:rPr>
          <w:sz w:val="21"/>
          <w:szCs w:val="21"/>
        </w:rPr>
      </w:pPr>
      <w:r>
        <w:fldChar w:fldCharType="begin"/>
      </w:r>
      <w:r>
        <w:instrText xml:space="preserve"> HYPERLINK "3.1.2.7" </w:instrText>
      </w:r>
      <w:r>
        <w:fldChar w:fldCharType="separate"/>
      </w:r>
      <w:r>
        <w:rPr>
          <w:spacing w:val="1"/>
          <w:sz w:val="21"/>
          <w:szCs w:val="21"/>
        </w:rPr>
        <w:t>3.1.2.7</w:t>
      </w:r>
      <w:r>
        <w:rPr>
          <w:spacing w:val="1"/>
          <w:sz w:val="21"/>
          <w:szCs w:val="21"/>
        </w:rPr>
        <w:fldChar w:fldCharType="end"/>
      </w:r>
      <w:r>
        <w:rPr>
          <w:spacing w:val="1"/>
          <w:sz w:val="21"/>
          <w:szCs w:val="21"/>
        </w:rPr>
        <w:t xml:space="preserve"> 设计人应按发包人及主管单位的要求积极组织各项与设计文件相关的评审或审查</w:t>
      </w:r>
    </w:p>
    <w:p>
      <w:pPr>
        <w:pStyle w:val="11"/>
        <w:spacing w:before="78" w:line="220" w:lineRule="auto"/>
        <w:ind w:left="19"/>
        <w:rPr>
          <w:sz w:val="21"/>
          <w:szCs w:val="21"/>
        </w:rPr>
      </w:pPr>
      <w:r>
        <w:rPr>
          <w:spacing w:val="-2"/>
          <w:sz w:val="21"/>
          <w:szCs w:val="21"/>
        </w:rPr>
        <w:t>会，并承担全过程的相关费用。</w:t>
      </w:r>
    </w:p>
    <w:p>
      <w:pPr>
        <w:pStyle w:val="11"/>
        <w:spacing w:before="80" w:line="221" w:lineRule="auto"/>
        <w:ind w:left="444"/>
        <w:outlineLvl w:val="2"/>
        <w:rPr>
          <w:spacing w:val="-1"/>
          <w:sz w:val="21"/>
          <w:szCs w:val="21"/>
        </w:rPr>
      </w:pPr>
      <w:r>
        <w:fldChar w:fldCharType="begin"/>
      </w:r>
      <w:r>
        <w:instrText xml:space="preserve"> HYPERLINK "3.1.2.8" </w:instrText>
      </w:r>
      <w:r>
        <w:fldChar w:fldCharType="separate"/>
      </w:r>
      <w:r>
        <w:rPr>
          <w:spacing w:val="-1"/>
          <w:sz w:val="21"/>
          <w:szCs w:val="21"/>
        </w:rPr>
        <w:t>3.1.2.8</w:t>
      </w:r>
      <w:r>
        <w:rPr>
          <w:spacing w:val="-1"/>
          <w:sz w:val="21"/>
          <w:szCs w:val="21"/>
        </w:rPr>
        <w:fldChar w:fldCharType="end"/>
      </w:r>
      <w:r>
        <w:rPr>
          <w:spacing w:val="-1"/>
          <w:sz w:val="21"/>
          <w:szCs w:val="21"/>
        </w:rPr>
        <w:t>设计人员需配合发包人共同完成工程招标及工程量清单编制等相关工作。</w:t>
      </w:r>
    </w:p>
    <w:p>
      <w:pPr>
        <w:pStyle w:val="11"/>
        <w:spacing w:before="80" w:line="221" w:lineRule="auto"/>
        <w:ind w:left="444"/>
        <w:outlineLvl w:val="2"/>
        <w:rPr>
          <w:sz w:val="21"/>
          <w:szCs w:val="21"/>
        </w:rPr>
      </w:pPr>
      <w:r>
        <w:fldChar w:fldCharType="begin"/>
      </w:r>
      <w:r>
        <w:instrText xml:space="preserve"> HYPERLINK "3.1.2.9" </w:instrText>
      </w:r>
      <w:r>
        <w:fldChar w:fldCharType="separate"/>
      </w:r>
      <w:r>
        <w:rPr>
          <w:spacing w:val="-1"/>
          <w:sz w:val="21"/>
          <w:szCs w:val="21"/>
        </w:rPr>
        <w:t>3.1.2.9</w:t>
      </w:r>
      <w:r>
        <w:rPr>
          <w:spacing w:val="-1"/>
          <w:sz w:val="21"/>
          <w:szCs w:val="21"/>
        </w:rPr>
        <w:fldChar w:fldCharType="end"/>
      </w:r>
      <w:r>
        <w:rPr>
          <w:spacing w:val="-41"/>
          <w:sz w:val="21"/>
          <w:szCs w:val="21"/>
        </w:rPr>
        <w:t xml:space="preserve"> </w:t>
      </w:r>
      <w:r>
        <w:rPr>
          <w:spacing w:val="-1"/>
          <w:sz w:val="21"/>
          <w:szCs w:val="21"/>
        </w:rPr>
        <w:t>项目在开展方案、可研、初步设计、施工图阶段时，设计人员配合发</w:t>
      </w:r>
      <w:r>
        <w:rPr>
          <w:spacing w:val="-2"/>
          <w:sz w:val="21"/>
          <w:szCs w:val="21"/>
        </w:rPr>
        <w:t>包人对专家、</w:t>
      </w:r>
    </w:p>
    <w:p>
      <w:pPr>
        <w:pStyle w:val="11"/>
        <w:spacing w:before="80" w:line="221" w:lineRule="auto"/>
        <w:ind w:left="28"/>
        <w:rPr>
          <w:sz w:val="21"/>
          <w:szCs w:val="21"/>
        </w:rPr>
      </w:pPr>
      <w:r>
        <w:rPr>
          <w:spacing w:val="-1"/>
          <w:sz w:val="21"/>
          <w:szCs w:val="21"/>
        </w:rPr>
        <w:t>咨询事务所、施工图审查单位及市城建委完成图纸交接工作。</w:t>
      </w:r>
    </w:p>
    <w:p>
      <w:pPr>
        <w:pStyle w:val="11"/>
        <w:spacing w:before="77" w:line="221" w:lineRule="auto"/>
        <w:ind w:left="444"/>
        <w:outlineLvl w:val="2"/>
        <w:rPr>
          <w:sz w:val="21"/>
          <w:szCs w:val="21"/>
        </w:rPr>
      </w:pPr>
      <w:r>
        <w:fldChar w:fldCharType="begin"/>
      </w:r>
      <w:r>
        <w:instrText xml:space="preserve"> HYPERLINK "3.1.2.10" </w:instrText>
      </w:r>
      <w:r>
        <w:fldChar w:fldCharType="separate"/>
      </w:r>
      <w:r>
        <w:rPr>
          <w:sz w:val="21"/>
          <w:szCs w:val="21"/>
        </w:rPr>
        <w:t>3.1.2.10</w:t>
      </w:r>
      <w:r>
        <w:rPr>
          <w:sz w:val="21"/>
          <w:szCs w:val="21"/>
        </w:rPr>
        <w:fldChar w:fldCharType="end"/>
      </w:r>
      <w:r>
        <w:rPr>
          <w:spacing w:val="-34"/>
          <w:sz w:val="21"/>
          <w:szCs w:val="21"/>
        </w:rPr>
        <w:t xml:space="preserve"> </w:t>
      </w:r>
      <w:r>
        <w:rPr>
          <w:sz w:val="21"/>
          <w:szCs w:val="21"/>
        </w:rPr>
        <w:t>设计人应按照发包人要求，编制合理的总</w:t>
      </w:r>
      <w:r>
        <w:rPr>
          <w:spacing w:val="-1"/>
          <w:sz w:val="21"/>
          <w:szCs w:val="21"/>
        </w:rPr>
        <w:t>进度计划及周密、细致的详细工作计划</w:t>
      </w:r>
    </w:p>
    <w:p>
      <w:pPr>
        <w:pStyle w:val="11"/>
        <w:spacing w:before="81" w:line="220" w:lineRule="auto"/>
        <w:ind w:left="20"/>
        <w:rPr>
          <w:sz w:val="21"/>
          <w:szCs w:val="21"/>
        </w:rPr>
      </w:pPr>
      <w:r>
        <w:rPr>
          <w:spacing w:val="-1"/>
          <w:sz w:val="21"/>
          <w:szCs w:val="21"/>
        </w:rPr>
        <w:t>供发包人审核，严格执行并接受发包人监督，确保有计划，更有实施。</w:t>
      </w:r>
    </w:p>
    <w:p>
      <w:pPr>
        <w:pStyle w:val="11"/>
        <w:spacing w:before="78" w:line="221" w:lineRule="auto"/>
        <w:ind w:left="444"/>
        <w:outlineLvl w:val="2"/>
        <w:rPr>
          <w:sz w:val="21"/>
          <w:szCs w:val="21"/>
        </w:rPr>
      </w:pPr>
      <w:r>
        <w:fldChar w:fldCharType="begin"/>
      </w:r>
      <w:r>
        <w:instrText xml:space="preserve"> HYPERLINK "3.1.2.11" </w:instrText>
      </w:r>
      <w:r>
        <w:fldChar w:fldCharType="separate"/>
      </w:r>
      <w:r>
        <w:rPr>
          <w:sz w:val="21"/>
          <w:szCs w:val="21"/>
        </w:rPr>
        <w:t>3.1.2.11</w:t>
      </w:r>
      <w:r>
        <w:rPr>
          <w:sz w:val="21"/>
          <w:szCs w:val="21"/>
        </w:rPr>
        <w:fldChar w:fldCharType="end"/>
      </w:r>
      <w:r>
        <w:rPr>
          <w:spacing w:val="-34"/>
          <w:sz w:val="21"/>
          <w:szCs w:val="21"/>
        </w:rPr>
        <w:t xml:space="preserve"> </w:t>
      </w:r>
      <w:r>
        <w:rPr>
          <w:sz w:val="21"/>
          <w:szCs w:val="21"/>
        </w:rPr>
        <w:t>设计人应从施工组织、重大施工方案的</w:t>
      </w:r>
      <w:r>
        <w:rPr>
          <w:spacing w:val="-1"/>
          <w:sz w:val="21"/>
          <w:szCs w:val="21"/>
        </w:rPr>
        <w:t>审查以及现场技术问题处理等方面，为业</w:t>
      </w:r>
    </w:p>
    <w:p>
      <w:pPr>
        <w:pStyle w:val="11"/>
        <w:spacing w:before="80" w:line="220" w:lineRule="auto"/>
        <w:ind w:left="22"/>
        <w:rPr>
          <w:sz w:val="21"/>
          <w:szCs w:val="21"/>
        </w:rPr>
      </w:pPr>
      <w:r>
        <w:rPr>
          <w:spacing w:val="-1"/>
          <w:sz w:val="21"/>
          <w:szCs w:val="21"/>
        </w:rPr>
        <w:t>主提供技术支持。</w:t>
      </w:r>
    </w:p>
    <w:p>
      <w:pPr>
        <w:pStyle w:val="11"/>
        <w:spacing w:before="78" w:line="221" w:lineRule="auto"/>
        <w:ind w:left="444"/>
        <w:outlineLvl w:val="2"/>
        <w:rPr>
          <w:sz w:val="21"/>
          <w:szCs w:val="21"/>
        </w:rPr>
      </w:pPr>
      <w:r>
        <w:fldChar w:fldCharType="begin"/>
      </w:r>
      <w:r>
        <w:instrText xml:space="preserve"> HYPERLINK "3.1.2.12" </w:instrText>
      </w:r>
      <w:r>
        <w:fldChar w:fldCharType="separate"/>
      </w:r>
      <w:r>
        <w:rPr>
          <w:sz w:val="21"/>
          <w:szCs w:val="21"/>
        </w:rPr>
        <w:t>3.1.2.12</w:t>
      </w:r>
      <w:r>
        <w:rPr>
          <w:sz w:val="21"/>
          <w:szCs w:val="21"/>
        </w:rPr>
        <w:fldChar w:fldCharType="end"/>
      </w:r>
      <w:r>
        <w:rPr>
          <w:spacing w:val="-38"/>
          <w:sz w:val="21"/>
          <w:szCs w:val="21"/>
        </w:rPr>
        <w:t xml:space="preserve"> </w:t>
      </w:r>
      <w:r>
        <w:rPr>
          <w:sz w:val="21"/>
          <w:szCs w:val="21"/>
        </w:rPr>
        <w:t>施工过程中，设计人应有责任和义务及时到现场解</w:t>
      </w:r>
      <w:r>
        <w:rPr>
          <w:spacing w:val="-1"/>
          <w:sz w:val="21"/>
          <w:szCs w:val="21"/>
        </w:rPr>
        <w:t>决施工中出现的问题。设计人</w:t>
      </w:r>
    </w:p>
    <w:p>
      <w:pPr>
        <w:pStyle w:val="11"/>
        <w:spacing w:before="80" w:line="221" w:lineRule="auto"/>
        <w:ind w:left="23"/>
        <w:rPr>
          <w:sz w:val="21"/>
          <w:szCs w:val="21"/>
        </w:rPr>
      </w:pPr>
      <w:r>
        <w:rPr>
          <w:sz w:val="21"/>
          <w:szCs w:val="21"/>
        </w:rPr>
        <w:t>须按投标承诺在处理工程存在问题时，在收到</w:t>
      </w:r>
      <w:r>
        <w:rPr>
          <w:spacing w:val="-1"/>
          <w:sz w:val="21"/>
          <w:szCs w:val="21"/>
        </w:rPr>
        <w:t>通知后 2 小时以内到达现场并主动解决问题。</w:t>
      </w:r>
    </w:p>
    <w:p>
      <w:pPr>
        <w:pStyle w:val="11"/>
        <w:spacing w:before="78" w:line="220" w:lineRule="auto"/>
        <w:ind w:left="444"/>
        <w:outlineLvl w:val="2"/>
        <w:rPr>
          <w:sz w:val="21"/>
          <w:szCs w:val="21"/>
        </w:rPr>
      </w:pPr>
      <w:r>
        <w:fldChar w:fldCharType="begin"/>
      </w:r>
      <w:r>
        <w:instrText xml:space="preserve"> HYPERLINK "3.1.2.13" </w:instrText>
      </w:r>
      <w:r>
        <w:fldChar w:fldCharType="separate"/>
      </w:r>
      <w:r>
        <w:rPr>
          <w:spacing w:val="-4"/>
          <w:sz w:val="21"/>
          <w:szCs w:val="21"/>
        </w:rPr>
        <w:t>3.1.2.13</w:t>
      </w:r>
      <w:r>
        <w:rPr>
          <w:spacing w:val="-4"/>
          <w:sz w:val="21"/>
          <w:szCs w:val="21"/>
        </w:rPr>
        <w:fldChar w:fldCharType="end"/>
      </w:r>
      <w:r>
        <w:rPr>
          <w:spacing w:val="-36"/>
          <w:sz w:val="21"/>
          <w:szCs w:val="21"/>
        </w:rPr>
        <w:t xml:space="preserve"> </w:t>
      </w:r>
      <w:r>
        <w:rPr>
          <w:spacing w:val="-4"/>
          <w:sz w:val="21"/>
          <w:szCs w:val="21"/>
        </w:rPr>
        <w:t>协助发包人确定相关建材的颜色、规格、样板；</w:t>
      </w:r>
      <w:r>
        <w:rPr>
          <w:spacing w:val="61"/>
          <w:sz w:val="21"/>
          <w:szCs w:val="21"/>
        </w:rPr>
        <w:t xml:space="preserve"> </w:t>
      </w:r>
      <w:r>
        <w:rPr>
          <w:spacing w:val="-4"/>
          <w:sz w:val="21"/>
          <w:szCs w:val="21"/>
        </w:rPr>
        <w:t>并对相关的</w:t>
      </w:r>
      <w:r>
        <w:rPr>
          <w:spacing w:val="-5"/>
          <w:sz w:val="21"/>
          <w:szCs w:val="21"/>
        </w:rPr>
        <w:t>设计图纸进行复核，</w:t>
      </w:r>
    </w:p>
    <w:p>
      <w:pPr>
        <w:pStyle w:val="11"/>
        <w:spacing w:before="81" w:line="220" w:lineRule="auto"/>
        <w:ind w:left="19"/>
        <w:rPr>
          <w:sz w:val="21"/>
          <w:szCs w:val="21"/>
        </w:rPr>
      </w:pPr>
      <w:r>
        <w:rPr>
          <w:spacing w:val="-1"/>
          <w:sz w:val="21"/>
          <w:szCs w:val="21"/>
        </w:rPr>
        <w:t>对需要盖章的资料给予配合，确保项目整体实施顺利。</w:t>
      </w:r>
    </w:p>
    <w:p>
      <w:pPr>
        <w:pStyle w:val="11"/>
        <w:spacing w:before="78" w:line="221" w:lineRule="auto"/>
        <w:ind w:left="444"/>
        <w:outlineLvl w:val="2"/>
        <w:rPr>
          <w:sz w:val="21"/>
          <w:szCs w:val="21"/>
        </w:rPr>
      </w:pPr>
      <w:r>
        <w:fldChar w:fldCharType="begin"/>
      </w:r>
      <w:r>
        <w:instrText xml:space="preserve"> HYPERLINK "3.1.2.14" </w:instrText>
      </w:r>
      <w:r>
        <w:fldChar w:fldCharType="separate"/>
      </w:r>
      <w:r>
        <w:rPr>
          <w:spacing w:val="-1"/>
          <w:sz w:val="21"/>
          <w:szCs w:val="21"/>
        </w:rPr>
        <w:t>3.1.2.14</w:t>
      </w:r>
      <w:r>
        <w:rPr>
          <w:spacing w:val="-1"/>
          <w:sz w:val="21"/>
          <w:szCs w:val="21"/>
        </w:rPr>
        <w:fldChar w:fldCharType="end"/>
      </w:r>
      <w:r>
        <w:rPr>
          <w:spacing w:val="-40"/>
          <w:sz w:val="21"/>
          <w:szCs w:val="21"/>
        </w:rPr>
        <w:t xml:space="preserve"> </w:t>
      </w:r>
      <w:r>
        <w:rPr>
          <w:spacing w:val="-1"/>
          <w:sz w:val="21"/>
          <w:szCs w:val="21"/>
        </w:rPr>
        <w:t>积极配合发包人进行项目的竣工验收结算和设计资料完善等工作。</w:t>
      </w:r>
    </w:p>
    <w:p>
      <w:pPr>
        <w:pStyle w:val="11"/>
        <w:spacing w:before="80" w:line="221" w:lineRule="auto"/>
        <w:ind w:left="444"/>
        <w:outlineLvl w:val="2"/>
        <w:rPr>
          <w:sz w:val="21"/>
          <w:szCs w:val="21"/>
        </w:rPr>
      </w:pPr>
      <w:r>
        <w:fldChar w:fldCharType="begin"/>
      </w:r>
      <w:r>
        <w:instrText xml:space="preserve"> HYPERLINK "3.1.2.15" </w:instrText>
      </w:r>
      <w:r>
        <w:fldChar w:fldCharType="separate"/>
      </w:r>
      <w:r>
        <w:rPr>
          <w:sz w:val="21"/>
          <w:szCs w:val="21"/>
        </w:rPr>
        <w:t>3.1.2.15</w:t>
      </w:r>
      <w:r>
        <w:rPr>
          <w:sz w:val="21"/>
          <w:szCs w:val="21"/>
        </w:rPr>
        <w:fldChar w:fldCharType="end"/>
      </w:r>
      <w:r>
        <w:rPr>
          <w:spacing w:val="-34"/>
          <w:sz w:val="21"/>
          <w:szCs w:val="21"/>
        </w:rPr>
        <w:t xml:space="preserve"> </w:t>
      </w:r>
      <w:r>
        <w:rPr>
          <w:sz w:val="21"/>
          <w:szCs w:val="21"/>
        </w:rPr>
        <w:t>设计人在方案设计及施工图设计过程中，</w:t>
      </w:r>
      <w:r>
        <w:rPr>
          <w:spacing w:val="-1"/>
          <w:sz w:val="21"/>
          <w:szCs w:val="21"/>
        </w:rPr>
        <w:t>在不违反国家规定的设计标准和规程范</w:t>
      </w:r>
    </w:p>
    <w:p>
      <w:pPr>
        <w:pStyle w:val="11"/>
        <w:spacing w:before="77" w:line="220" w:lineRule="auto"/>
        <w:ind w:left="39"/>
        <w:rPr>
          <w:sz w:val="21"/>
          <w:szCs w:val="21"/>
        </w:rPr>
      </w:pPr>
      <w:r>
        <w:rPr>
          <w:spacing w:val="-3"/>
          <w:sz w:val="21"/>
          <w:szCs w:val="21"/>
        </w:rPr>
        <w:t>围内，尽可能地为发包人降低工程成本。</w:t>
      </w:r>
    </w:p>
    <w:p>
      <w:pPr>
        <w:pStyle w:val="11"/>
        <w:spacing w:before="82" w:line="220" w:lineRule="auto"/>
        <w:ind w:left="444"/>
        <w:outlineLvl w:val="2"/>
        <w:rPr>
          <w:sz w:val="21"/>
          <w:szCs w:val="21"/>
        </w:rPr>
      </w:pPr>
      <w:r>
        <w:fldChar w:fldCharType="begin"/>
      </w:r>
      <w:r>
        <w:instrText xml:space="preserve"> HYPERLINK "3.1.2.16" </w:instrText>
      </w:r>
      <w:r>
        <w:fldChar w:fldCharType="separate"/>
      </w:r>
      <w:r>
        <w:rPr>
          <w:sz w:val="21"/>
          <w:szCs w:val="21"/>
        </w:rPr>
        <w:t>3.1.2.16</w:t>
      </w:r>
      <w:r>
        <w:rPr>
          <w:sz w:val="21"/>
          <w:szCs w:val="21"/>
        </w:rPr>
        <w:fldChar w:fldCharType="end"/>
      </w:r>
      <w:r>
        <w:rPr>
          <w:spacing w:val="-33"/>
          <w:sz w:val="21"/>
          <w:szCs w:val="21"/>
        </w:rPr>
        <w:t xml:space="preserve"> </w:t>
      </w:r>
      <w:r>
        <w:rPr>
          <w:sz w:val="21"/>
          <w:szCs w:val="21"/>
        </w:rPr>
        <w:t>设计人应按投标文件承诺提供配备本项目设</w:t>
      </w:r>
      <w:r>
        <w:rPr>
          <w:spacing w:val="-1"/>
          <w:sz w:val="21"/>
          <w:szCs w:val="21"/>
        </w:rPr>
        <w:t>计人员，人员不少于  人，其中道路</w:t>
      </w:r>
    </w:p>
    <w:p>
      <w:pPr>
        <w:pStyle w:val="11"/>
        <w:spacing w:before="78" w:line="221" w:lineRule="auto"/>
        <w:ind w:left="21"/>
        <w:rPr>
          <w:sz w:val="21"/>
          <w:szCs w:val="21"/>
        </w:rPr>
      </w:pPr>
      <w:r>
        <w:rPr>
          <w:sz w:val="21"/>
          <w:szCs w:val="21"/>
        </w:rPr>
        <w:t>专业 人、给排水专业   人、概预算专业  人。专业负责人员中具有中级职称以</w:t>
      </w:r>
      <w:r>
        <w:rPr>
          <w:spacing w:val="-1"/>
          <w:sz w:val="21"/>
          <w:szCs w:val="21"/>
        </w:rPr>
        <w:t>上。</w:t>
      </w:r>
    </w:p>
    <w:p>
      <w:pPr>
        <w:pStyle w:val="11"/>
        <w:spacing w:before="80" w:line="221" w:lineRule="auto"/>
        <w:ind w:left="444"/>
        <w:outlineLvl w:val="2"/>
        <w:rPr>
          <w:sz w:val="21"/>
          <w:szCs w:val="21"/>
        </w:rPr>
      </w:pPr>
      <w:r>
        <w:rPr>
          <w:spacing w:val="-3"/>
          <w:sz w:val="21"/>
          <w:szCs w:val="21"/>
        </w:rPr>
        <w:t>3.2</w:t>
      </w:r>
      <w:r>
        <w:rPr>
          <w:spacing w:val="14"/>
          <w:sz w:val="21"/>
          <w:szCs w:val="21"/>
        </w:rPr>
        <w:t xml:space="preserve"> </w:t>
      </w:r>
      <w:r>
        <w:rPr>
          <w:spacing w:val="-3"/>
          <w:sz w:val="21"/>
          <w:szCs w:val="21"/>
        </w:rPr>
        <w:t>项目负责人</w:t>
      </w:r>
    </w:p>
    <w:p>
      <w:pPr>
        <w:pStyle w:val="11"/>
        <w:spacing w:before="77" w:line="221" w:lineRule="auto"/>
        <w:ind w:left="444"/>
        <w:rPr>
          <w:sz w:val="21"/>
          <w:szCs w:val="21"/>
        </w:rPr>
      </w:pPr>
      <w:r>
        <w:rPr>
          <w:spacing w:val="-1"/>
          <w:sz w:val="21"/>
          <w:szCs w:val="21"/>
        </w:rPr>
        <w:t>3.2.1 项目负责人</w:t>
      </w:r>
    </w:p>
    <w:p>
      <w:pPr>
        <w:pStyle w:val="11"/>
        <w:spacing w:before="83" w:line="285" w:lineRule="auto"/>
        <w:ind w:left="440" w:right="2392"/>
        <w:rPr>
          <w:spacing w:val="4"/>
          <w:sz w:val="21"/>
          <w:szCs w:val="21"/>
        </w:rPr>
      </w:pPr>
      <w:r>
        <w:rPr>
          <w:spacing w:val="-7"/>
          <w:sz w:val="21"/>
          <w:szCs w:val="21"/>
        </w:rPr>
        <w:t>姓</w:t>
      </w:r>
      <w:r>
        <w:rPr>
          <w:spacing w:val="2"/>
          <w:sz w:val="21"/>
          <w:szCs w:val="21"/>
        </w:rPr>
        <w:t xml:space="preserve">    </w:t>
      </w:r>
      <w:r>
        <w:rPr>
          <w:spacing w:val="-7"/>
          <w:sz w:val="21"/>
          <w:szCs w:val="21"/>
        </w:rPr>
        <w:t>名</w:t>
      </w:r>
      <w:r>
        <w:rPr>
          <w:spacing w:val="-27"/>
          <w:sz w:val="21"/>
          <w:szCs w:val="21"/>
        </w:rPr>
        <w:t>：</w:t>
      </w:r>
      <w:r>
        <w:rPr>
          <w:sz w:val="21"/>
          <w:szCs w:val="21"/>
          <w:u w:val="single" w:color="auto"/>
        </w:rPr>
        <w:t xml:space="preserve">                                             </w:t>
      </w:r>
      <w:r>
        <w:rPr>
          <w:spacing w:val="-27"/>
          <w:sz w:val="21"/>
          <w:szCs w:val="21"/>
        </w:rPr>
        <w:t>；</w:t>
      </w:r>
    </w:p>
    <w:p>
      <w:pPr>
        <w:pStyle w:val="11"/>
        <w:spacing w:before="83" w:line="285" w:lineRule="auto"/>
        <w:ind w:left="440" w:right="2392"/>
        <w:rPr>
          <w:spacing w:val="1"/>
          <w:sz w:val="21"/>
          <w:szCs w:val="21"/>
        </w:rPr>
      </w:pPr>
      <w:r>
        <w:rPr>
          <w:spacing w:val="-1"/>
          <w:sz w:val="21"/>
          <w:szCs w:val="21"/>
        </w:rPr>
        <w:t>执业资格及等级</w:t>
      </w:r>
      <w:r>
        <w:rPr>
          <w:spacing w:val="-25"/>
          <w:sz w:val="21"/>
          <w:szCs w:val="21"/>
        </w:rPr>
        <w:t>：</w:t>
      </w:r>
      <w:r>
        <w:rPr>
          <w:spacing w:val="3"/>
          <w:sz w:val="21"/>
          <w:szCs w:val="21"/>
          <w:u w:val="single" w:color="auto"/>
        </w:rPr>
        <w:t xml:space="preserve">                             </w:t>
      </w:r>
      <w:r>
        <w:rPr>
          <w:spacing w:val="2"/>
          <w:sz w:val="21"/>
          <w:szCs w:val="21"/>
          <w:u w:val="single" w:color="auto"/>
        </w:rPr>
        <w:t xml:space="preserve">         </w:t>
      </w:r>
      <w:r>
        <w:rPr>
          <w:spacing w:val="-25"/>
          <w:sz w:val="21"/>
          <w:szCs w:val="21"/>
        </w:rPr>
        <w:t>；</w:t>
      </w:r>
    </w:p>
    <w:p>
      <w:pPr>
        <w:pStyle w:val="11"/>
        <w:spacing w:before="83" w:line="285" w:lineRule="auto"/>
        <w:ind w:left="440" w:right="2392"/>
        <w:rPr>
          <w:spacing w:val="1"/>
          <w:sz w:val="21"/>
          <w:szCs w:val="21"/>
        </w:rPr>
      </w:pPr>
      <w:r>
        <w:rPr>
          <w:spacing w:val="-1"/>
          <w:sz w:val="21"/>
          <w:szCs w:val="21"/>
        </w:rPr>
        <w:t>注册证书号</w:t>
      </w:r>
      <w:r>
        <w:rPr>
          <w:spacing w:val="-26"/>
          <w:sz w:val="21"/>
          <w:szCs w:val="21"/>
        </w:rPr>
        <w:t>：</w:t>
      </w:r>
      <w:r>
        <w:rPr>
          <w:sz w:val="21"/>
          <w:szCs w:val="21"/>
          <w:u w:val="single" w:color="auto"/>
        </w:rPr>
        <w:t xml:space="preserve">                                           </w:t>
      </w:r>
      <w:r>
        <w:rPr>
          <w:spacing w:val="-26"/>
          <w:sz w:val="21"/>
          <w:szCs w:val="21"/>
        </w:rPr>
        <w:t>；</w:t>
      </w:r>
    </w:p>
    <w:p>
      <w:pPr>
        <w:pStyle w:val="11"/>
        <w:spacing w:before="83" w:line="285" w:lineRule="auto"/>
        <w:ind w:left="440" w:right="2392"/>
        <w:rPr>
          <w:spacing w:val="2"/>
          <w:sz w:val="21"/>
          <w:szCs w:val="21"/>
        </w:rPr>
      </w:pPr>
      <w:r>
        <w:rPr>
          <w:spacing w:val="-2"/>
          <w:sz w:val="21"/>
          <w:szCs w:val="21"/>
        </w:rPr>
        <w:t>联系电话</w:t>
      </w:r>
      <w:r>
        <w:rPr>
          <w:spacing w:val="-25"/>
          <w:sz w:val="21"/>
          <w:szCs w:val="21"/>
        </w:rPr>
        <w:t>：</w:t>
      </w:r>
      <w:r>
        <w:rPr>
          <w:sz w:val="21"/>
          <w:szCs w:val="21"/>
          <w:u w:val="single" w:color="auto"/>
        </w:rPr>
        <w:t xml:space="preserve">                                             </w:t>
      </w:r>
      <w:r>
        <w:rPr>
          <w:spacing w:val="-25"/>
          <w:sz w:val="21"/>
          <w:szCs w:val="21"/>
        </w:rPr>
        <w:t>；</w:t>
      </w:r>
    </w:p>
    <w:p>
      <w:pPr>
        <w:pStyle w:val="11"/>
        <w:spacing w:before="83" w:line="285" w:lineRule="auto"/>
        <w:ind w:left="440" w:right="2392"/>
        <w:rPr>
          <w:spacing w:val="2"/>
          <w:sz w:val="21"/>
          <w:szCs w:val="21"/>
        </w:rPr>
      </w:pPr>
      <w:r>
        <w:rPr>
          <w:spacing w:val="5"/>
          <w:sz w:val="21"/>
          <w:szCs w:val="21"/>
        </w:rPr>
        <w:t>电子信箱</w:t>
      </w:r>
      <w:r>
        <w:rPr>
          <w:spacing w:val="-39"/>
          <w:sz w:val="21"/>
          <w:szCs w:val="21"/>
        </w:rPr>
        <w:t>：</w:t>
      </w:r>
      <w:r>
        <w:rPr>
          <w:sz w:val="21"/>
          <w:szCs w:val="21"/>
          <w:u w:val="single" w:color="auto"/>
        </w:rPr>
        <w:t xml:space="preserve">                                             </w:t>
      </w:r>
      <w:r>
        <w:rPr>
          <w:spacing w:val="-39"/>
          <w:sz w:val="21"/>
          <w:szCs w:val="21"/>
        </w:rPr>
        <w:t>；</w:t>
      </w:r>
    </w:p>
    <w:p>
      <w:pPr>
        <w:pStyle w:val="11"/>
        <w:spacing w:before="83" w:line="285" w:lineRule="auto"/>
        <w:ind w:left="440" w:right="2392"/>
        <w:rPr>
          <w:rFonts w:ascii="Arial"/>
          <w:sz w:val="21"/>
        </w:rPr>
      </w:pPr>
      <w:r>
        <w:rPr>
          <w:spacing w:val="-2"/>
          <w:sz w:val="21"/>
          <w:szCs w:val="21"/>
        </w:rPr>
        <w:t>通信地址</w:t>
      </w:r>
      <w:r>
        <w:rPr>
          <w:spacing w:val="-25"/>
          <w:sz w:val="21"/>
          <w:szCs w:val="21"/>
        </w:rPr>
        <w:t>：</w:t>
      </w:r>
      <w:r>
        <w:rPr>
          <w:sz w:val="21"/>
          <w:szCs w:val="21"/>
          <w:u w:val="single" w:color="auto"/>
        </w:rPr>
        <w:t xml:space="preserve">                                             </w:t>
      </w:r>
      <w:r>
        <w:rPr>
          <w:spacing w:val="-25"/>
          <w:sz w:val="21"/>
          <w:szCs w:val="21"/>
        </w:rPr>
        <w:t>；</w:t>
      </w:r>
    </w:p>
    <w:p>
      <w:pPr>
        <w:pStyle w:val="11"/>
        <w:spacing w:before="68" w:line="278" w:lineRule="auto"/>
        <w:ind w:left="20" w:firstLine="423"/>
        <w:rPr>
          <w:sz w:val="21"/>
          <w:szCs w:val="21"/>
        </w:rPr>
      </w:pPr>
      <w:r>
        <w:rPr>
          <w:spacing w:val="-2"/>
          <w:sz w:val="21"/>
          <w:szCs w:val="21"/>
        </w:rPr>
        <w:t>设计人对项目负责人的授权范围如下：</w:t>
      </w:r>
      <w:r>
        <w:rPr>
          <w:spacing w:val="-2"/>
          <w:sz w:val="21"/>
          <w:szCs w:val="21"/>
          <w:u w:val="single" w:color="auto"/>
        </w:rPr>
        <w:t xml:space="preserve">    按合同要求负责</w:t>
      </w:r>
      <w:r>
        <w:rPr>
          <w:spacing w:val="-3"/>
          <w:sz w:val="21"/>
          <w:szCs w:val="21"/>
          <w:u w:val="single" w:color="auto"/>
        </w:rPr>
        <w:t>与本项目设计有关的一切事物，</w:t>
      </w:r>
      <w:r>
        <w:rPr>
          <w:sz w:val="21"/>
          <w:szCs w:val="21"/>
        </w:rPr>
        <w:t xml:space="preserve"> </w:t>
      </w:r>
      <w:r>
        <w:rPr>
          <w:spacing w:val="-1"/>
          <w:sz w:val="21"/>
          <w:szCs w:val="21"/>
          <w:u w:val="single" w:color="auto"/>
        </w:rPr>
        <w:t>包括项目的组织、协调相关工作</w:t>
      </w:r>
      <w:r>
        <w:rPr>
          <w:spacing w:val="37"/>
          <w:sz w:val="21"/>
          <w:szCs w:val="21"/>
          <w:u w:val="single" w:color="auto"/>
        </w:rPr>
        <w:t xml:space="preserve">   </w:t>
      </w:r>
      <w:r>
        <w:rPr>
          <w:spacing w:val="-1"/>
          <w:sz w:val="21"/>
          <w:szCs w:val="21"/>
        </w:rPr>
        <w:t>。</w:t>
      </w:r>
    </w:p>
    <w:p>
      <w:pPr>
        <w:pStyle w:val="11"/>
        <w:spacing w:before="27" w:line="220" w:lineRule="auto"/>
        <w:ind w:left="444"/>
        <w:rPr>
          <w:sz w:val="21"/>
          <w:szCs w:val="21"/>
        </w:rPr>
      </w:pPr>
      <w:r>
        <w:rPr>
          <w:sz w:val="21"/>
          <w:szCs w:val="21"/>
        </w:rPr>
        <w:t>3.2.2 设计人更换项目负责人的，应提前</w:t>
      </w:r>
      <w:r>
        <w:rPr>
          <w:sz w:val="21"/>
          <w:szCs w:val="21"/>
          <w:u w:val="single" w:color="auto"/>
        </w:rPr>
        <w:t xml:space="preserve"> 7 </w:t>
      </w:r>
      <w:r>
        <w:rPr>
          <w:spacing w:val="-1"/>
          <w:sz w:val="21"/>
          <w:szCs w:val="21"/>
        </w:rPr>
        <w:t>天书面通知发包人。</w:t>
      </w:r>
    </w:p>
    <w:p>
      <w:pPr>
        <w:pStyle w:val="11"/>
        <w:spacing w:before="82" w:line="284" w:lineRule="auto"/>
        <w:ind w:left="21" w:right="57" w:firstLine="422"/>
        <w:rPr>
          <w:sz w:val="21"/>
          <w:szCs w:val="21"/>
        </w:rPr>
      </w:pPr>
      <w:r>
        <w:rPr>
          <w:spacing w:val="-1"/>
          <w:sz w:val="21"/>
          <w:szCs w:val="21"/>
        </w:rPr>
        <w:t>设计人擅自更换项目负责人的违约责任：</w:t>
      </w:r>
      <w:r>
        <w:rPr>
          <w:spacing w:val="-1"/>
          <w:sz w:val="21"/>
          <w:szCs w:val="21"/>
          <w:u w:val="single" w:color="auto"/>
        </w:rPr>
        <w:t xml:space="preserve"> 设计人擅自更换项目负</w:t>
      </w:r>
      <w:r>
        <w:rPr>
          <w:spacing w:val="-2"/>
          <w:sz w:val="21"/>
          <w:szCs w:val="21"/>
          <w:u w:val="single" w:color="auto"/>
        </w:rPr>
        <w:t>责人的违约责任：设计人</w:t>
      </w:r>
      <w:r>
        <w:rPr>
          <w:sz w:val="21"/>
          <w:szCs w:val="21"/>
        </w:rPr>
        <w:t xml:space="preserve"> </w:t>
      </w:r>
      <w:r>
        <w:rPr>
          <w:spacing w:val="3"/>
          <w:sz w:val="21"/>
          <w:szCs w:val="21"/>
          <w:u w:val="single" w:color="auto"/>
        </w:rPr>
        <w:t>擅自更换项目设计负责人或关键人员，发包人按每人每次向设计人索赔设计费的</w:t>
      </w:r>
      <w:r>
        <w:rPr>
          <w:spacing w:val="34"/>
          <w:sz w:val="21"/>
          <w:szCs w:val="21"/>
          <w:u w:val="single" w:color="auto"/>
        </w:rPr>
        <w:t xml:space="preserve"> </w:t>
      </w:r>
      <w:r>
        <w:rPr>
          <w:spacing w:val="3"/>
          <w:sz w:val="21"/>
          <w:szCs w:val="21"/>
          <w:u w:val="single" w:color="auto"/>
        </w:rPr>
        <w:t>5%（百分之</w:t>
      </w:r>
      <w:r>
        <w:rPr>
          <w:spacing w:val="-38"/>
          <w:sz w:val="21"/>
          <w:szCs w:val="21"/>
          <w:u w:val="single" w:color="auto"/>
        </w:rPr>
        <w:t>五）。</w:t>
      </w:r>
    </w:p>
    <w:p>
      <w:pPr>
        <w:pStyle w:val="11"/>
        <w:keepNext w:val="0"/>
        <w:keepLines w:val="0"/>
        <w:pageBreakBefore w:val="0"/>
        <w:widowControl/>
        <w:kinsoku/>
        <w:wordWrap/>
        <w:overflowPunct/>
        <w:topLinePunct w:val="0"/>
        <w:autoSpaceDE/>
        <w:autoSpaceDN/>
        <w:bidi w:val="0"/>
        <w:adjustRightInd/>
        <w:snapToGrid/>
        <w:spacing w:before="0" w:line="240" w:lineRule="auto"/>
        <w:ind w:left="-200" w:leftChars="0" w:right="0" w:firstLine="0" w:firstLineChars="0"/>
        <w:textAlignment w:val="auto"/>
        <w:outlineLvl w:val="2"/>
        <w:rPr>
          <w:sz w:val="21"/>
          <w:szCs w:val="21"/>
        </w:rPr>
      </w:pPr>
      <w:r>
        <w:rPr>
          <w:spacing w:val="-1"/>
          <w:sz w:val="21"/>
          <w:szCs w:val="21"/>
        </w:rPr>
        <w:t>3.2.3 发包人有权书面通知设计人更换其认为不称职的项目负</w:t>
      </w:r>
      <w:r>
        <w:rPr>
          <w:spacing w:val="-2"/>
          <w:sz w:val="21"/>
          <w:szCs w:val="21"/>
        </w:rPr>
        <w:t>责人，设计人应在收到书面</w:t>
      </w:r>
      <w:r>
        <w:rPr>
          <w:spacing w:val="-1"/>
          <w:sz w:val="21"/>
          <w:szCs w:val="21"/>
        </w:rPr>
        <w:t>更换通知后 7 天内更换项目负责人。更换的项目负责人不得低于投标时承诺投</w:t>
      </w:r>
      <w:r>
        <w:rPr>
          <w:spacing w:val="-2"/>
          <w:sz w:val="21"/>
          <w:szCs w:val="21"/>
        </w:rPr>
        <w:t>入项目负责人的</w:t>
      </w:r>
      <w:r>
        <w:rPr>
          <w:sz w:val="21"/>
          <w:szCs w:val="21"/>
        </w:rPr>
        <w:t xml:space="preserve"> </w:t>
      </w:r>
      <w:r>
        <w:rPr>
          <w:spacing w:val="-1"/>
          <w:sz w:val="21"/>
          <w:szCs w:val="21"/>
        </w:rPr>
        <w:t>标准。设计人无正当理由拒绝更换项目负责人的违约责任： 设计人的项目</w:t>
      </w:r>
      <w:r>
        <w:rPr>
          <w:spacing w:val="-2"/>
          <w:sz w:val="21"/>
          <w:szCs w:val="21"/>
        </w:rPr>
        <w:t>负责人或关键人员不</w:t>
      </w:r>
      <w:r>
        <w:rPr>
          <w:sz w:val="21"/>
          <w:szCs w:val="21"/>
        </w:rPr>
        <w:t xml:space="preserve"> </w:t>
      </w:r>
      <w:r>
        <w:rPr>
          <w:spacing w:val="1"/>
          <w:sz w:val="21"/>
          <w:szCs w:val="21"/>
        </w:rPr>
        <w:t>能很好地履行合同服务或服务质量达不到发包人要求，发包人有权要求设计人限时更换人员，</w:t>
      </w:r>
      <w:r>
        <w:rPr>
          <w:spacing w:val="5"/>
          <w:sz w:val="21"/>
          <w:szCs w:val="21"/>
        </w:rPr>
        <w:t xml:space="preserve"> </w:t>
      </w:r>
      <w:r>
        <w:rPr>
          <w:spacing w:val="-3"/>
          <w:sz w:val="21"/>
          <w:szCs w:val="21"/>
        </w:rPr>
        <w:t>如设计人无正当理由拒绝更换的，发包人按每人每次向设计人索赔设计费的5%（百分之五）。</w:t>
      </w:r>
    </w:p>
    <w:p>
      <w:pPr>
        <w:pStyle w:val="11"/>
        <w:spacing w:before="32" w:line="222" w:lineRule="auto"/>
        <w:ind w:left="444"/>
        <w:outlineLvl w:val="2"/>
        <w:rPr>
          <w:sz w:val="21"/>
          <w:szCs w:val="21"/>
        </w:rPr>
      </w:pPr>
      <w:r>
        <w:rPr>
          <w:spacing w:val="-3"/>
          <w:sz w:val="21"/>
          <w:szCs w:val="21"/>
        </w:rPr>
        <w:t>3.3</w:t>
      </w:r>
      <w:r>
        <w:rPr>
          <w:spacing w:val="14"/>
          <w:sz w:val="21"/>
          <w:szCs w:val="21"/>
        </w:rPr>
        <w:t xml:space="preserve"> </w:t>
      </w:r>
      <w:r>
        <w:rPr>
          <w:spacing w:val="-3"/>
          <w:sz w:val="21"/>
          <w:szCs w:val="21"/>
        </w:rPr>
        <w:t>设计人人员</w:t>
      </w:r>
    </w:p>
    <w:p>
      <w:pPr>
        <w:pStyle w:val="11"/>
        <w:spacing w:before="76" w:line="219" w:lineRule="auto"/>
        <w:ind w:left="444"/>
        <w:rPr>
          <w:spacing w:val="-1"/>
          <w:sz w:val="21"/>
          <w:szCs w:val="21"/>
        </w:rPr>
      </w:pPr>
      <w:r>
        <w:rPr>
          <w:spacing w:val="-1"/>
          <w:sz w:val="21"/>
          <w:szCs w:val="21"/>
        </w:rPr>
        <w:t>3.3.1 设计人提交项目管理机构及人员安排报告的期限</w:t>
      </w:r>
      <w:r>
        <w:rPr>
          <w:spacing w:val="-1"/>
          <w:sz w:val="21"/>
          <w:szCs w:val="21"/>
          <w:u w:val="single" w:color="auto"/>
        </w:rPr>
        <w:t xml:space="preserve">   合同签订后</w:t>
      </w:r>
      <w:r>
        <w:rPr>
          <w:spacing w:val="-26"/>
          <w:sz w:val="21"/>
          <w:szCs w:val="21"/>
          <w:u w:val="single" w:color="auto"/>
        </w:rPr>
        <w:t xml:space="preserve"> </w:t>
      </w:r>
      <w:r>
        <w:rPr>
          <w:spacing w:val="-1"/>
          <w:sz w:val="21"/>
          <w:szCs w:val="21"/>
          <w:u w:val="single" w:color="auto"/>
        </w:rPr>
        <w:t>5</w:t>
      </w:r>
      <w:r>
        <w:rPr>
          <w:spacing w:val="-43"/>
          <w:sz w:val="21"/>
          <w:szCs w:val="21"/>
          <w:u w:val="single" w:color="auto"/>
        </w:rPr>
        <w:t xml:space="preserve"> </w:t>
      </w:r>
      <w:r>
        <w:rPr>
          <w:spacing w:val="-1"/>
          <w:sz w:val="21"/>
          <w:szCs w:val="21"/>
          <w:u w:val="single" w:color="auto"/>
        </w:rPr>
        <w:t xml:space="preserve">个日历日内  </w:t>
      </w:r>
      <w:r>
        <w:rPr>
          <w:spacing w:val="-1"/>
          <w:sz w:val="21"/>
          <w:szCs w:val="21"/>
        </w:rPr>
        <w:t>。</w:t>
      </w:r>
    </w:p>
    <w:p>
      <w:pPr>
        <w:pStyle w:val="11"/>
        <w:spacing w:before="76" w:line="219" w:lineRule="auto"/>
        <w:ind w:left="-199" w:leftChars="-95" w:firstLine="0" w:firstLineChars="0"/>
        <w:rPr>
          <w:sz w:val="21"/>
          <w:szCs w:val="21"/>
        </w:rPr>
      </w:pPr>
      <w:r>
        <w:rPr>
          <w:spacing w:val="1"/>
          <w:sz w:val="21"/>
          <w:szCs w:val="21"/>
        </w:rPr>
        <w:t>3.3.2 设计人无正当理由拒绝撤换主要设计人员的违约责任：</w:t>
      </w:r>
      <w:r>
        <w:rPr>
          <w:spacing w:val="1"/>
          <w:sz w:val="21"/>
          <w:szCs w:val="21"/>
          <w:u w:val="single" w:color="auto"/>
        </w:rPr>
        <w:t xml:space="preserve">  发包人有权向设计人处以</w:t>
      </w:r>
      <w:r>
        <w:rPr>
          <w:spacing w:val="7"/>
          <w:sz w:val="21"/>
          <w:szCs w:val="21"/>
        </w:rPr>
        <w:t xml:space="preserve"> </w:t>
      </w:r>
      <w:r>
        <w:rPr>
          <w:spacing w:val="-3"/>
          <w:sz w:val="21"/>
          <w:szCs w:val="21"/>
          <w:u w:val="single" w:color="auto"/>
        </w:rPr>
        <w:t>10000</w:t>
      </w:r>
      <w:r>
        <w:rPr>
          <w:spacing w:val="-45"/>
          <w:sz w:val="21"/>
          <w:szCs w:val="21"/>
          <w:u w:val="single" w:color="auto"/>
        </w:rPr>
        <w:t xml:space="preserve"> </w:t>
      </w:r>
      <w:r>
        <w:rPr>
          <w:spacing w:val="-3"/>
          <w:sz w:val="21"/>
          <w:szCs w:val="21"/>
          <w:u w:val="single" w:color="auto"/>
        </w:rPr>
        <w:t>元罚款/人</w:t>
      </w:r>
      <w:r>
        <w:rPr>
          <w:spacing w:val="-24"/>
          <w:sz w:val="21"/>
          <w:szCs w:val="21"/>
          <w:u w:val="single" w:color="auto"/>
        </w:rPr>
        <w:t xml:space="preserve"> </w:t>
      </w:r>
      <w:r>
        <w:rPr>
          <w:spacing w:val="-3"/>
          <w:sz w:val="21"/>
          <w:szCs w:val="21"/>
          <w:u w:val="single" w:color="auto"/>
        </w:rPr>
        <w:t>·天，设计人需承担违约给发包人造成的一切损失及责</w:t>
      </w:r>
      <w:r>
        <w:rPr>
          <w:spacing w:val="-4"/>
          <w:sz w:val="21"/>
          <w:szCs w:val="21"/>
          <w:u w:val="single" w:color="auto"/>
        </w:rPr>
        <w:t>任。</w:t>
      </w:r>
    </w:p>
    <w:p>
      <w:pPr>
        <w:pStyle w:val="11"/>
        <w:keepNext w:val="0"/>
        <w:keepLines w:val="0"/>
        <w:pageBreakBefore w:val="0"/>
        <w:widowControl/>
        <w:kinsoku/>
        <w:wordWrap/>
        <w:overflowPunct/>
        <w:topLinePunct w:val="0"/>
        <w:autoSpaceDE/>
        <w:autoSpaceDN/>
        <w:bidi w:val="0"/>
        <w:adjustRightInd/>
        <w:snapToGrid/>
        <w:spacing w:before="0" w:line="281" w:lineRule="auto"/>
        <w:ind w:left="-199" w:leftChars="-95" w:right="65" w:firstLine="0" w:firstLineChars="0"/>
        <w:jc w:val="both"/>
        <w:textAlignment w:val="auto"/>
        <w:rPr>
          <w:sz w:val="21"/>
          <w:szCs w:val="21"/>
        </w:rPr>
      </w:pPr>
      <w:r>
        <w:rPr>
          <w:spacing w:val="-3"/>
          <w:sz w:val="21"/>
          <w:szCs w:val="21"/>
        </w:rPr>
        <w:t>以上（专用条款的</w:t>
      </w:r>
      <w:r>
        <w:rPr>
          <w:spacing w:val="-40"/>
          <w:sz w:val="21"/>
          <w:szCs w:val="21"/>
        </w:rPr>
        <w:t xml:space="preserve"> </w:t>
      </w:r>
      <w:r>
        <w:rPr>
          <w:spacing w:val="-3"/>
          <w:sz w:val="21"/>
          <w:szCs w:val="21"/>
        </w:rPr>
        <w:t>3.2.2、3.2.3、3.3.2）有关违约处罚，所有违约金全部从设计人</w:t>
      </w:r>
      <w:r>
        <w:rPr>
          <w:spacing w:val="-4"/>
          <w:sz w:val="21"/>
          <w:szCs w:val="21"/>
        </w:rPr>
        <w:t>履约保</w:t>
      </w:r>
      <w:r>
        <w:rPr>
          <w:sz w:val="21"/>
          <w:szCs w:val="21"/>
        </w:rPr>
        <w:t xml:space="preserve"> </w:t>
      </w:r>
      <w:r>
        <w:rPr>
          <w:spacing w:val="1"/>
          <w:sz w:val="21"/>
          <w:szCs w:val="21"/>
        </w:rPr>
        <w:t>证金中扣除。在本合同期内，履约保证金因设计人违约而扣除罚金后，设计人应在接收到发包</w:t>
      </w:r>
      <w:r>
        <w:rPr>
          <w:spacing w:val="9"/>
          <w:sz w:val="21"/>
          <w:szCs w:val="21"/>
        </w:rPr>
        <w:t xml:space="preserve"> </w:t>
      </w:r>
      <w:r>
        <w:rPr>
          <w:spacing w:val="-3"/>
          <w:sz w:val="21"/>
          <w:szCs w:val="21"/>
        </w:rPr>
        <w:t>人通知后</w:t>
      </w:r>
      <w:r>
        <w:rPr>
          <w:spacing w:val="-25"/>
          <w:sz w:val="21"/>
          <w:szCs w:val="21"/>
        </w:rPr>
        <w:t xml:space="preserve"> </w:t>
      </w:r>
      <w:r>
        <w:rPr>
          <w:spacing w:val="-3"/>
          <w:sz w:val="21"/>
          <w:szCs w:val="21"/>
        </w:rPr>
        <w:t>5</w:t>
      </w:r>
      <w:r>
        <w:rPr>
          <w:spacing w:val="-46"/>
          <w:sz w:val="21"/>
          <w:szCs w:val="21"/>
        </w:rPr>
        <w:t xml:space="preserve"> </w:t>
      </w:r>
      <w:r>
        <w:rPr>
          <w:spacing w:val="-3"/>
          <w:sz w:val="21"/>
          <w:szCs w:val="21"/>
        </w:rPr>
        <w:t>个工作日内补足履约保证金。</w:t>
      </w:r>
    </w:p>
    <w:p>
      <w:pPr>
        <w:pStyle w:val="11"/>
        <w:spacing w:before="30" w:line="221" w:lineRule="auto"/>
        <w:ind w:left="444"/>
        <w:outlineLvl w:val="2"/>
        <w:rPr>
          <w:sz w:val="21"/>
          <w:szCs w:val="21"/>
        </w:rPr>
      </w:pPr>
      <w:r>
        <w:rPr>
          <w:spacing w:val="-3"/>
          <w:sz w:val="21"/>
          <w:szCs w:val="21"/>
        </w:rPr>
        <w:t>3.4</w:t>
      </w:r>
      <w:r>
        <w:rPr>
          <w:spacing w:val="12"/>
          <w:sz w:val="21"/>
          <w:szCs w:val="21"/>
        </w:rPr>
        <w:t xml:space="preserve"> </w:t>
      </w:r>
      <w:r>
        <w:rPr>
          <w:spacing w:val="-3"/>
          <w:sz w:val="21"/>
          <w:szCs w:val="21"/>
        </w:rPr>
        <w:t>设计分包</w:t>
      </w:r>
    </w:p>
    <w:p>
      <w:pPr>
        <w:pStyle w:val="11"/>
        <w:spacing w:before="79" w:line="221" w:lineRule="auto"/>
        <w:ind w:left="444"/>
        <w:rPr>
          <w:sz w:val="21"/>
          <w:szCs w:val="21"/>
        </w:rPr>
      </w:pPr>
      <w:r>
        <w:rPr>
          <w:spacing w:val="-1"/>
          <w:sz w:val="21"/>
          <w:szCs w:val="21"/>
        </w:rPr>
        <w:t>3.4.1设计分包的一般约定</w:t>
      </w:r>
    </w:p>
    <w:p>
      <w:pPr>
        <w:pStyle w:val="11"/>
        <w:spacing w:before="78" w:line="278" w:lineRule="auto"/>
        <w:ind w:left="441" w:right="2883" w:hanging="1"/>
        <w:rPr>
          <w:spacing w:val="-1"/>
          <w:sz w:val="21"/>
          <w:szCs w:val="21"/>
        </w:rPr>
      </w:pPr>
      <w:r>
        <w:rPr>
          <w:spacing w:val="-1"/>
          <w:sz w:val="21"/>
          <w:szCs w:val="21"/>
        </w:rPr>
        <w:t>禁止设计分包的工程包括：</w:t>
      </w:r>
      <w:r>
        <w:rPr>
          <w:spacing w:val="-1"/>
          <w:sz w:val="21"/>
          <w:szCs w:val="21"/>
          <w:u w:val="single" w:color="auto"/>
        </w:rPr>
        <w:t xml:space="preserve">     本项目禁止</w:t>
      </w:r>
      <w:r>
        <w:rPr>
          <w:spacing w:val="-2"/>
          <w:sz w:val="21"/>
          <w:szCs w:val="21"/>
          <w:u w:val="single" w:color="auto"/>
        </w:rPr>
        <w:t xml:space="preserve">设计分包   </w:t>
      </w:r>
      <w:r>
        <w:rPr>
          <w:spacing w:val="-2"/>
          <w:sz w:val="21"/>
          <w:szCs w:val="21"/>
        </w:rPr>
        <w:t>。</w:t>
      </w:r>
      <w:r>
        <w:rPr>
          <w:sz w:val="21"/>
          <w:szCs w:val="21"/>
        </w:rPr>
        <w:t xml:space="preserve"> </w:t>
      </w:r>
      <w:r>
        <w:rPr>
          <w:spacing w:val="-1"/>
          <w:sz w:val="21"/>
          <w:szCs w:val="21"/>
        </w:rPr>
        <w:t>主体结构、关键性工作的范围：</w:t>
      </w:r>
      <w:r>
        <w:rPr>
          <w:spacing w:val="-1"/>
          <w:sz w:val="21"/>
          <w:szCs w:val="21"/>
          <w:u w:val="single" w:color="auto"/>
        </w:rPr>
        <w:t xml:space="preserve">    /   </w:t>
      </w:r>
      <w:r>
        <w:rPr>
          <w:spacing w:val="-1"/>
          <w:sz w:val="21"/>
          <w:szCs w:val="21"/>
        </w:rPr>
        <w:t>。</w:t>
      </w:r>
    </w:p>
    <w:p>
      <w:pPr>
        <w:pStyle w:val="11"/>
        <w:spacing w:before="78" w:line="278" w:lineRule="auto"/>
        <w:ind w:left="-199" w:leftChars="-95" w:right="2883" w:firstLine="0" w:firstLineChars="0"/>
        <w:rPr>
          <w:sz w:val="21"/>
          <w:szCs w:val="21"/>
        </w:rPr>
      </w:pPr>
      <w:r>
        <w:rPr>
          <w:spacing w:val="-1"/>
          <w:sz w:val="21"/>
          <w:szCs w:val="21"/>
        </w:rPr>
        <w:t>3.4.2设计分包的确定</w:t>
      </w:r>
    </w:p>
    <w:p>
      <w:pPr>
        <w:pStyle w:val="11"/>
        <w:spacing w:before="79" w:line="276" w:lineRule="auto"/>
        <w:ind w:left="441" w:right="4981" w:firstLine="6"/>
        <w:rPr>
          <w:sz w:val="21"/>
          <w:szCs w:val="21"/>
        </w:rPr>
      </w:pPr>
      <w:r>
        <w:rPr>
          <w:spacing w:val="-3"/>
          <w:sz w:val="21"/>
          <w:szCs w:val="21"/>
        </w:rPr>
        <w:t>允许分包的专业工程包括：</w:t>
      </w:r>
      <w:r>
        <w:rPr>
          <w:spacing w:val="-3"/>
          <w:sz w:val="21"/>
          <w:szCs w:val="21"/>
          <w:u w:val="single" w:color="auto"/>
        </w:rPr>
        <w:t xml:space="preserve">  /   </w:t>
      </w:r>
      <w:r>
        <w:rPr>
          <w:spacing w:val="-3"/>
          <w:sz w:val="21"/>
          <w:szCs w:val="21"/>
        </w:rPr>
        <w:t>。</w:t>
      </w:r>
      <w:r>
        <w:rPr>
          <w:spacing w:val="14"/>
          <w:sz w:val="21"/>
          <w:szCs w:val="21"/>
        </w:rPr>
        <w:t xml:space="preserve"> </w:t>
      </w:r>
      <w:r>
        <w:rPr>
          <w:spacing w:val="-1"/>
          <w:sz w:val="21"/>
          <w:szCs w:val="21"/>
        </w:rPr>
        <w:t>其他关于分包的约定：</w:t>
      </w:r>
      <w:r>
        <w:rPr>
          <w:spacing w:val="-1"/>
          <w:sz w:val="21"/>
          <w:szCs w:val="21"/>
          <w:u w:val="single" w:color="auto"/>
        </w:rPr>
        <w:t xml:space="preserve">/      </w:t>
      </w:r>
      <w:r>
        <w:rPr>
          <w:spacing w:val="-1"/>
          <w:sz w:val="21"/>
          <w:szCs w:val="21"/>
        </w:rPr>
        <w:t>。</w:t>
      </w:r>
    </w:p>
    <w:p>
      <w:pPr>
        <w:pStyle w:val="11"/>
        <w:spacing w:before="33" w:line="221" w:lineRule="auto"/>
        <w:ind w:left="444"/>
        <w:rPr>
          <w:sz w:val="21"/>
          <w:szCs w:val="21"/>
        </w:rPr>
      </w:pPr>
      <w:r>
        <w:rPr>
          <w:sz w:val="21"/>
          <w:szCs w:val="21"/>
        </w:rPr>
        <w:t>3.4.3设计人向发包人提交有关分包人</w:t>
      </w:r>
      <w:r>
        <w:rPr>
          <w:spacing w:val="-1"/>
          <w:sz w:val="21"/>
          <w:szCs w:val="21"/>
        </w:rPr>
        <w:t>资料包括：</w:t>
      </w:r>
      <w:r>
        <w:rPr>
          <w:spacing w:val="-1"/>
          <w:sz w:val="21"/>
          <w:szCs w:val="21"/>
          <w:u w:val="single" w:color="auto"/>
        </w:rPr>
        <w:t xml:space="preserve">/     </w:t>
      </w:r>
      <w:r>
        <w:rPr>
          <w:spacing w:val="-1"/>
          <w:sz w:val="21"/>
          <w:szCs w:val="21"/>
        </w:rPr>
        <w:t>。</w:t>
      </w:r>
    </w:p>
    <w:p>
      <w:pPr>
        <w:pStyle w:val="11"/>
        <w:spacing w:before="76" w:line="221" w:lineRule="auto"/>
        <w:ind w:left="444"/>
        <w:rPr>
          <w:sz w:val="21"/>
          <w:szCs w:val="21"/>
        </w:rPr>
      </w:pPr>
      <w:r>
        <w:rPr>
          <w:spacing w:val="-1"/>
          <w:sz w:val="21"/>
          <w:szCs w:val="21"/>
        </w:rPr>
        <w:t xml:space="preserve">3.4.4分包工程设计费支付方式： </w:t>
      </w:r>
      <w:r>
        <w:rPr>
          <w:spacing w:val="-1"/>
          <w:sz w:val="21"/>
          <w:szCs w:val="21"/>
          <w:u w:val="single" w:color="auto"/>
        </w:rPr>
        <w:t xml:space="preserve"> /  </w:t>
      </w:r>
      <w:r>
        <w:rPr>
          <w:spacing w:val="-1"/>
          <w:sz w:val="21"/>
          <w:szCs w:val="21"/>
        </w:rPr>
        <w:t>。</w:t>
      </w:r>
    </w:p>
    <w:p>
      <w:pPr>
        <w:pStyle w:val="11"/>
        <w:spacing w:before="81" w:line="222" w:lineRule="auto"/>
        <w:ind w:left="444"/>
        <w:outlineLvl w:val="2"/>
        <w:rPr>
          <w:sz w:val="21"/>
          <w:szCs w:val="21"/>
        </w:rPr>
      </w:pPr>
      <w:r>
        <w:rPr>
          <w:spacing w:val="-4"/>
          <w:sz w:val="21"/>
          <w:szCs w:val="21"/>
        </w:rPr>
        <w:t>3.5</w:t>
      </w:r>
      <w:r>
        <w:rPr>
          <w:spacing w:val="14"/>
          <w:sz w:val="21"/>
          <w:szCs w:val="21"/>
        </w:rPr>
        <w:t xml:space="preserve"> </w:t>
      </w:r>
      <w:r>
        <w:rPr>
          <w:spacing w:val="-4"/>
          <w:sz w:val="21"/>
          <w:szCs w:val="21"/>
        </w:rPr>
        <w:t>联合体</w:t>
      </w:r>
    </w:p>
    <w:p>
      <w:pPr>
        <w:pStyle w:val="11"/>
        <w:spacing w:before="75" w:line="278" w:lineRule="auto"/>
        <w:ind w:left="20" w:right="63" w:firstLine="424"/>
        <w:rPr>
          <w:sz w:val="21"/>
          <w:szCs w:val="21"/>
        </w:rPr>
      </w:pPr>
      <w:r>
        <w:rPr>
          <w:spacing w:val="1"/>
          <w:sz w:val="21"/>
          <w:szCs w:val="21"/>
        </w:rPr>
        <w:t>3.5.4 发包人向联合体支付设计费用的方式：按照联合体协议书约定的联合体双方承接设</w:t>
      </w:r>
      <w:r>
        <w:rPr>
          <w:spacing w:val="5"/>
          <w:sz w:val="21"/>
          <w:szCs w:val="21"/>
        </w:rPr>
        <w:t xml:space="preserve"> </w:t>
      </w:r>
      <w:r>
        <w:rPr>
          <w:spacing w:val="-1"/>
          <w:sz w:val="21"/>
          <w:szCs w:val="21"/>
        </w:rPr>
        <w:t>计内容比例进行支付。</w:t>
      </w:r>
    </w:p>
    <w:p>
      <w:pPr>
        <w:pStyle w:val="11"/>
        <w:spacing w:before="29" w:line="221" w:lineRule="auto"/>
        <w:ind w:left="444"/>
        <w:outlineLvl w:val="2"/>
        <w:rPr>
          <w:sz w:val="21"/>
          <w:szCs w:val="21"/>
        </w:rPr>
      </w:pPr>
      <w:r>
        <w:rPr>
          <w:spacing w:val="-3"/>
          <w:sz w:val="21"/>
          <w:szCs w:val="21"/>
        </w:rPr>
        <w:t>3.6</w:t>
      </w:r>
      <w:r>
        <w:rPr>
          <w:spacing w:val="12"/>
          <w:sz w:val="21"/>
          <w:szCs w:val="21"/>
        </w:rPr>
        <w:t xml:space="preserve"> </w:t>
      </w:r>
      <w:r>
        <w:rPr>
          <w:spacing w:val="-3"/>
          <w:sz w:val="21"/>
          <w:szCs w:val="21"/>
        </w:rPr>
        <w:t>履约担保</w:t>
      </w:r>
    </w:p>
    <w:p>
      <w:pPr>
        <w:pStyle w:val="11"/>
        <w:spacing w:before="80" w:line="221" w:lineRule="auto"/>
        <w:ind w:left="20" w:leftChars="-25" w:hanging="73" w:hangingChars="36"/>
        <w:rPr>
          <w:rFonts w:hint="eastAsia" w:eastAsia="宋体"/>
          <w:sz w:val="21"/>
          <w:szCs w:val="21"/>
          <w:lang w:val="en-US" w:eastAsia="zh-CN"/>
        </w:rPr>
      </w:pPr>
      <w:r>
        <w:rPr>
          <w:spacing w:val="-3"/>
          <w:sz w:val="21"/>
          <w:szCs w:val="21"/>
        </w:rPr>
        <w:t>设计人是否提供履约担保：</w:t>
      </w:r>
      <w:r>
        <w:rPr>
          <w:rFonts w:hint="eastAsia"/>
          <w:spacing w:val="-3"/>
          <w:sz w:val="21"/>
          <w:szCs w:val="21"/>
          <w:lang w:val="en-US" w:eastAsia="zh-CN"/>
        </w:rPr>
        <w:t>否</w:t>
      </w:r>
    </w:p>
    <w:p>
      <w:pPr>
        <w:pStyle w:val="11"/>
        <w:spacing w:before="78" w:line="221" w:lineRule="auto"/>
        <w:ind w:left="446"/>
        <w:outlineLvl w:val="1"/>
        <w:rPr>
          <w:sz w:val="21"/>
          <w:szCs w:val="21"/>
        </w:rPr>
      </w:pPr>
      <w:r>
        <w:rPr>
          <w:b/>
          <w:bCs/>
          <w:spacing w:val="-3"/>
          <w:sz w:val="21"/>
          <w:szCs w:val="21"/>
        </w:rPr>
        <w:t>5.</w:t>
      </w:r>
      <w:r>
        <w:rPr>
          <w:spacing w:val="-3"/>
          <w:sz w:val="21"/>
          <w:szCs w:val="21"/>
        </w:rPr>
        <w:t xml:space="preserve"> </w:t>
      </w:r>
      <w:r>
        <w:rPr>
          <w:b/>
          <w:bCs/>
          <w:spacing w:val="-3"/>
          <w:sz w:val="21"/>
          <w:szCs w:val="21"/>
        </w:rPr>
        <w:t>工程设计要求</w:t>
      </w:r>
    </w:p>
    <w:p>
      <w:pPr>
        <w:pStyle w:val="11"/>
        <w:spacing w:before="79" w:line="221" w:lineRule="auto"/>
        <w:ind w:left="444"/>
        <w:outlineLvl w:val="2"/>
        <w:rPr>
          <w:sz w:val="21"/>
          <w:szCs w:val="21"/>
        </w:rPr>
      </w:pPr>
      <w:r>
        <w:rPr>
          <w:spacing w:val="-1"/>
          <w:sz w:val="21"/>
          <w:szCs w:val="21"/>
        </w:rPr>
        <w:t>5.1 工程设计一般要求</w:t>
      </w:r>
    </w:p>
    <w:p>
      <w:pPr>
        <w:pStyle w:val="11"/>
        <w:spacing w:before="77" w:line="221" w:lineRule="auto"/>
        <w:ind w:left="444"/>
        <w:rPr>
          <w:sz w:val="21"/>
          <w:szCs w:val="21"/>
        </w:rPr>
      </w:pPr>
      <w:r>
        <w:fldChar w:fldCharType="begin"/>
      </w:r>
      <w:r>
        <w:instrText xml:space="preserve"> HYPERLINK "5.1.2.1" </w:instrText>
      </w:r>
      <w:r>
        <w:fldChar w:fldCharType="separate"/>
      </w:r>
      <w:r>
        <w:rPr>
          <w:spacing w:val="-1"/>
          <w:sz w:val="21"/>
          <w:szCs w:val="21"/>
        </w:rPr>
        <w:t>5.1.2.1</w:t>
      </w:r>
      <w:r>
        <w:rPr>
          <w:spacing w:val="-1"/>
          <w:sz w:val="21"/>
          <w:szCs w:val="21"/>
        </w:rPr>
        <w:fldChar w:fldCharType="end"/>
      </w:r>
      <w:r>
        <w:rPr>
          <w:spacing w:val="-1"/>
          <w:sz w:val="21"/>
          <w:szCs w:val="21"/>
        </w:rPr>
        <w:t xml:space="preserve"> 工程设计的特殊标准或要求：</w:t>
      </w:r>
      <w:r>
        <w:rPr>
          <w:spacing w:val="-1"/>
          <w:sz w:val="21"/>
          <w:szCs w:val="21"/>
          <w:u w:val="single" w:color="auto"/>
        </w:rPr>
        <w:t xml:space="preserve">/  </w:t>
      </w:r>
      <w:r>
        <w:rPr>
          <w:spacing w:val="-1"/>
          <w:sz w:val="21"/>
          <w:szCs w:val="21"/>
        </w:rPr>
        <w:t>。</w:t>
      </w:r>
    </w:p>
    <w:p>
      <w:pPr>
        <w:pStyle w:val="11"/>
        <w:spacing w:before="79" w:line="221" w:lineRule="auto"/>
        <w:ind w:left="466"/>
        <w:rPr>
          <w:sz w:val="21"/>
          <w:szCs w:val="21"/>
        </w:rPr>
      </w:pPr>
      <w:r>
        <w:fldChar w:fldCharType="begin"/>
      </w:r>
      <w:r>
        <w:instrText xml:space="preserve"> HYPERLINK "5.1.2.2" </w:instrText>
      </w:r>
      <w:r>
        <w:fldChar w:fldCharType="separate"/>
      </w:r>
      <w:r>
        <w:rPr>
          <w:spacing w:val="-1"/>
          <w:sz w:val="21"/>
          <w:szCs w:val="21"/>
        </w:rPr>
        <w:t>5.1.2.2</w:t>
      </w:r>
      <w:r>
        <w:rPr>
          <w:spacing w:val="-1"/>
          <w:sz w:val="21"/>
          <w:szCs w:val="21"/>
        </w:rPr>
        <w:fldChar w:fldCharType="end"/>
      </w:r>
      <w:r>
        <w:rPr>
          <w:spacing w:val="-35"/>
          <w:sz w:val="21"/>
          <w:szCs w:val="21"/>
        </w:rPr>
        <w:t xml:space="preserve"> </w:t>
      </w:r>
      <w:r>
        <w:rPr>
          <w:spacing w:val="-1"/>
          <w:sz w:val="21"/>
          <w:szCs w:val="21"/>
        </w:rPr>
        <w:t>工程设计适用的技术标准：</w:t>
      </w:r>
      <w:r>
        <w:rPr>
          <w:spacing w:val="-1"/>
          <w:sz w:val="21"/>
          <w:szCs w:val="21"/>
          <w:u w:val="single" w:color="auto"/>
        </w:rPr>
        <w:t xml:space="preserve">   /    </w:t>
      </w:r>
      <w:r>
        <w:rPr>
          <w:spacing w:val="-1"/>
          <w:sz w:val="21"/>
          <w:szCs w:val="21"/>
        </w:rPr>
        <w:t>。</w:t>
      </w:r>
    </w:p>
    <w:p>
      <w:pPr>
        <w:pStyle w:val="11"/>
        <w:spacing w:before="78" w:line="221" w:lineRule="auto"/>
        <w:ind w:left="444"/>
        <w:rPr>
          <w:sz w:val="21"/>
          <w:szCs w:val="21"/>
        </w:rPr>
      </w:pPr>
      <w:r>
        <w:fldChar w:fldCharType="begin"/>
      </w:r>
      <w:r>
        <w:instrText xml:space="preserve"> HYPERLINK "5.1.2.4" </w:instrText>
      </w:r>
      <w:r>
        <w:fldChar w:fldCharType="separate"/>
      </w:r>
      <w:r>
        <w:rPr>
          <w:sz w:val="21"/>
          <w:szCs w:val="21"/>
        </w:rPr>
        <w:t>5.1.2.4</w:t>
      </w:r>
      <w:r>
        <w:rPr>
          <w:sz w:val="21"/>
          <w:szCs w:val="21"/>
        </w:rPr>
        <w:fldChar w:fldCharType="end"/>
      </w:r>
      <w:r>
        <w:rPr>
          <w:sz w:val="21"/>
          <w:szCs w:val="21"/>
        </w:rPr>
        <w:t xml:space="preserve"> 工程设计文件的主要技术指标控制值及</w:t>
      </w:r>
      <w:r>
        <w:rPr>
          <w:spacing w:val="-1"/>
          <w:sz w:val="21"/>
          <w:szCs w:val="21"/>
        </w:rPr>
        <w:t>比例：</w:t>
      </w:r>
      <w:r>
        <w:rPr>
          <w:spacing w:val="-1"/>
          <w:sz w:val="21"/>
          <w:szCs w:val="21"/>
          <w:u w:val="single" w:color="auto"/>
        </w:rPr>
        <w:t xml:space="preserve"> /  </w:t>
      </w:r>
      <w:r>
        <w:rPr>
          <w:spacing w:val="-1"/>
          <w:sz w:val="21"/>
          <w:szCs w:val="21"/>
        </w:rPr>
        <w:t>。</w:t>
      </w:r>
    </w:p>
    <w:p>
      <w:pPr>
        <w:pStyle w:val="11"/>
        <w:spacing w:before="80" w:line="221" w:lineRule="auto"/>
        <w:ind w:left="444"/>
        <w:outlineLvl w:val="2"/>
        <w:rPr>
          <w:sz w:val="21"/>
          <w:szCs w:val="21"/>
        </w:rPr>
      </w:pPr>
      <w:r>
        <w:rPr>
          <w:spacing w:val="-1"/>
          <w:sz w:val="21"/>
          <w:szCs w:val="21"/>
        </w:rPr>
        <w:t>5.3 工程设计文件的要求</w:t>
      </w:r>
    </w:p>
    <w:p>
      <w:pPr>
        <w:pStyle w:val="11"/>
        <w:spacing w:before="78" w:line="221" w:lineRule="auto"/>
        <w:ind w:left="444"/>
        <w:rPr>
          <w:sz w:val="21"/>
          <w:szCs w:val="21"/>
        </w:rPr>
      </w:pPr>
      <w:r>
        <w:rPr>
          <w:sz w:val="21"/>
          <w:szCs w:val="21"/>
        </w:rPr>
        <w:t>5.3.3 工程设计文件深度规定：</w:t>
      </w:r>
      <w:r>
        <w:rPr>
          <w:sz w:val="21"/>
          <w:szCs w:val="21"/>
          <w:u w:val="single" w:color="auto"/>
        </w:rPr>
        <w:t xml:space="preserve">   符合现行国家</w:t>
      </w:r>
      <w:r>
        <w:rPr>
          <w:spacing w:val="-1"/>
          <w:sz w:val="21"/>
          <w:szCs w:val="21"/>
          <w:u w:val="single" w:color="auto"/>
        </w:rPr>
        <w:t xml:space="preserve">、地方规定    </w:t>
      </w:r>
      <w:r>
        <w:rPr>
          <w:spacing w:val="-1"/>
          <w:sz w:val="21"/>
          <w:szCs w:val="21"/>
        </w:rPr>
        <w:t>。</w:t>
      </w:r>
    </w:p>
    <w:p>
      <w:pPr>
        <w:pStyle w:val="11"/>
        <w:spacing w:before="80" w:line="221" w:lineRule="auto"/>
        <w:ind w:left="444"/>
        <w:rPr>
          <w:sz w:val="21"/>
          <w:szCs w:val="21"/>
        </w:rPr>
      </w:pPr>
      <w:r>
        <w:rPr>
          <w:sz w:val="21"/>
          <w:szCs w:val="21"/>
        </w:rPr>
        <w:t>5.3.5 建筑物及其功能设施的合理使用寿命年限：</w:t>
      </w:r>
      <w:r>
        <w:rPr>
          <w:sz w:val="21"/>
          <w:szCs w:val="21"/>
          <w:u w:val="single" w:color="auto"/>
        </w:rPr>
        <w:t xml:space="preserve"> 按当前国家规</w:t>
      </w:r>
      <w:r>
        <w:rPr>
          <w:spacing w:val="-1"/>
          <w:sz w:val="21"/>
          <w:szCs w:val="21"/>
          <w:u w:val="single" w:color="auto"/>
        </w:rPr>
        <w:t>范规定的使用年限。</w:t>
      </w:r>
      <w:r>
        <w:rPr>
          <w:sz w:val="21"/>
          <w:szCs w:val="21"/>
          <w:u w:val="single" w:color="auto"/>
        </w:rPr>
        <w:t xml:space="preserve">  </w:t>
      </w:r>
    </w:p>
    <w:p>
      <w:pPr>
        <w:pStyle w:val="11"/>
        <w:spacing w:before="78" w:line="221" w:lineRule="auto"/>
        <w:ind w:left="444"/>
        <w:outlineLvl w:val="1"/>
        <w:rPr>
          <w:sz w:val="21"/>
          <w:szCs w:val="21"/>
        </w:rPr>
      </w:pPr>
      <w:r>
        <w:rPr>
          <w:b/>
          <w:bCs/>
          <w:spacing w:val="-2"/>
          <w:sz w:val="21"/>
          <w:szCs w:val="21"/>
        </w:rPr>
        <w:t>6.</w:t>
      </w:r>
      <w:r>
        <w:rPr>
          <w:spacing w:val="-2"/>
          <w:sz w:val="21"/>
          <w:szCs w:val="21"/>
        </w:rPr>
        <w:t xml:space="preserve"> </w:t>
      </w:r>
      <w:r>
        <w:rPr>
          <w:b/>
          <w:bCs/>
          <w:spacing w:val="-2"/>
          <w:sz w:val="21"/>
          <w:szCs w:val="21"/>
        </w:rPr>
        <w:t>工程设计进度与周期</w:t>
      </w:r>
    </w:p>
    <w:p>
      <w:pPr>
        <w:pStyle w:val="11"/>
        <w:spacing w:before="80" w:line="221" w:lineRule="auto"/>
        <w:ind w:left="441"/>
        <w:outlineLvl w:val="2"/>
        <w:rPr>
          <w:sz w:val="21"/>
          <w:szCs w:val="21"/>
        </w:rPr>
      </w:pPr>
      <w:r>
        <w:rPr>
          <w:spacing w:val="-1"/>
          <w:sz w:val="21"/>
          <w:szCs w:val="21"/>
        </w:rPr>
        <w:t>6.1 工程设计进度计划</w:t>
      </w:r>
    </w:p>
    <w:p>
      <w:pPr>
        <w:pStyle w:val="11"/>
        <w:spacing w:before="76" w:line="221" w:lineRule="auto"/>
        <w:ind w:left="441"/>
        <w:rPr>
          <w:sz w:val="21"/>
          <w:szCs w:val="21"/>
        </w:rPr>
      </w:pPr>
      <w:r>
        <w:rPr>
          <w:spacing w:val="-1"/>
          <w:sz w:val="21"/>
          <w:szCs w:val="21"/>
        </w:rPr>
        <w:t>6.1.1 工程设计进度计划的编制</w:t>
      </w:r>
    </w:p>
    <w:p>
      <w:pPr>
        <w:pStyle w:val="11"/>
        <w:spacing w:before="80" w:line="221" w:lineRule="auto"/>
        <w:ind w:left="441"/>
        <w:rPr>
          <w:sz w:val="21"/>
          <w:szCs w:val="21"/>
        </w:rPr>
      </w:pPr>
      <w:r>
        <w:rPr>
          <w:sz w:val="21"/>
          <w:szCs w:val="21"/>
        </w:rPr>
        <w:t>合同当事人约定的工程设计进度计划提交的时间：</w:t>
      </w:r>
      <w:r>
        <w:rPr>
          <w:sz w:val="21"/>
          <w:szCs w:val="21"/>
          <w:u w:val="single" w:color="auto"/>
        </w:rPr>
        <w:t xml:space="preserve">   合同签订后5</w:t>
      </w:r>
      <w:r>
        <w:rPr>
          <w:spacing w:val="-1"/>
          <w:sz w:val="21"/>
          <w:szCs w:val="21"/>
          <w:u w:val="single" w:color="auto"/>
        </w:rPr>
        <w:t xml:space="preserve">个日历天内  </w:t>
      </w:r>
      <w:r>
        <w:rPr>
          <w:spacing w:val="-1"/>
          <w:sz w:val="21"/>
          <w:szCs w:val="21"/>
        </w:rPr>
        <w:t>。</w:t>
      </w:r>
    </w:p>
    <w:p>
      <w:pPr>
        <w:pStyle w:val="11"/>
        <w:spacing w:before="77" w:line="278" w:lineRule="auto"/>
        <w:ind w:left="20" w:right="60" w:firstLine="420"/>
        <w:rPr>
          <w:sz w:val="21"/>
          <w:szCs w:val="21"/>
        </w:rPr>
      </w:pPr>
      <w:r>
        <w:rPr>
          <w:sz w:val="21"/>
          <w:szCs w:val="21"/>
        </w:rPr>
        <w:t>合同当事人约定的工程设计进度计划应包括的内容：</w:t>
      </w:r>
      <w:r>
        <w:rPr>
          <w:sz w:val="21"/>
          <w:szCs w:val="21"/>
          <w:u w:val="single" w:color="auto"/>
        </w:rPr>
        <w:t>包含但不限于工程设计关键</w:t>
      </w:r>
      <w:r>
        <w:rPr>
          <w:spacing w:val="-1"/>
          <w:sz w:val="21"/>
          <w:szCs w:val="21"/>
          <w:u w:val="single" w:color="auto"/>
        </w:rPr>
        <w:t>性控制</w:t>
      </w:r>
      <w:r>
        <w:rPr>
          <w:sz w:val="21"/>
          <w:szCs w:val="21"/>
        </w:rPr>
        <w:t xml:space="preserve"> </w:t>
      </w:r>
      <w:r>
        <w:rPr>
          <w:sz w:val="21"/>
          <w:szCs w:val="21"/>
          <w:u w:val="single" w:color="auto"/>
        </w:rPr>
        <w:t>节点、为确保完成工程设计进度的赶工措施等内容</w:t>
      </w:r>
      <w:r>
        <w:rPr>
          <w:spacing w:val="-1"/>
          <w:sz w:val="21"/>
          <w:szCs w:val="21"/>
        </w:rPr>
        <w:t>。</w:t>
      </w:r>
    </w:p>
    <w:p>
      <w:pPr>
        <w:pStyle w:val="11"/>
        <w:spacing w:before="28" w:line="221" w:lineRule="auto"/>
        <w:ind w:left="441"/>
        <w:rPr>
          <w:sz w:val="21"/>
          <w:szCs w:val="21"/>
        </w:rPr>
      </w:pPr>
      <w:r>
        <w:rPr>
          <w:spacing w:val="-1"/>
          <w:sz w:val="21"/>
          <w:szCs w:val="21"/>
        </w:rPr>
        <w:t>6.1.2 工程设计进度计划的修订</w:t>
      </w:r>
    </w:p>
    <w:p>
      <w:pPr>
        <w:pStyle w:val="11"/>
        <w:spacing w:before="80" w:line="221" w:lineRule="auto"/>
        <w:ind w:left="443"/>
        <w:rPr>
          <w:sz w:val="21"/>
          <w:szCs w:val="21"/>
        </w:rPr>
      </w:pPr>
      <w:r>
        <w:rPr>
          <w:spacing w:val="-1"/>
          <w:sz w:val="21"/>
          <w:szCs w:val="21"/>
        </w:rPr>
        <w:t>发包人在收到工程设计进度计划后确认或提出修改意见的期限：</w:t>
      </w:r>
      <w:r>
        <w:rPr>
          <w:spacing w:val="-1"/>
          <w:sz w:val="21"/>
          <w:szCs w:val="21"/>
          <w:u w:val="single" w:color="auto"/>
        </w:rPr>
        <w:t xml:space="preserve"> 5</w:t>
      </w:r>
      <w:r>
        <w:rPr>
          <w:spacing w:val="-26"/>
          <w:sz w:val="21"/>
          <w:szCs w:val="21"/>
          <w:u w:val="single" w:color="auto"/>
        </w:rPr>
        <w:t xml:space="preserve"> </w:t>
      </w:r>
      <w:r>
        <w:rPr>
          <w:spacing w:val="-1"/>
          <w:sz w:val="21"/>
          <w:szCs w:val="21"/>
          <w:u w:val="single" w:color="auto"/>
        </w:rPr>
        <w:t xml:space="preserve">个日历天 </w:t>
      </w:r>
      <w:r>
        <w:rPr>
          <w:spacing w:val="-1"/>
          <w:sz w:val="21"/>
          <w:szCs w:val="21"/>
        </w:rPr>
        <w:t>。</w:t>
      </w:r>
    </w:p>
    <w:p>
      <w:pPr>
        <w:pStyle w:val="11"/>
        <w:spacing w:before="78" w:line="221" w:lineRule="auto"/>
        <w:ind w:left="441"/>
        <w:outlineLvl w:val="2"/>
        <w:rPr>
          <w:sz w:val="21"/>
          <w:szCs w:val="21"/>
        </w:rPr>
      </w:pPr>
      <w:r>
        <w:rPr>
          <w:spacing w:val="-1"/>
          <w:sz w:val="21"/>
          <w:szCs w:val="21"/>
        </w:rPr>
        <w:t>6.3 工程设计进度延误</w:t>
      </w:r>
    </w:p>
    <w:p>
      <w:pPr>
        <w:pStyle w:val="11"/>
        <w:spacing w:before="80" w:line="221" w:lineRule="auto"/>
        <w:ind w:left="441"/>
        <w:rPr>
          <w:sz w:val="21"/>
          <w:szCs w:val="21"/>
        </w:rPr>
      </w:pPr>
      <w:r>
        <w:rPr>
          <w:spacing w:val="-1"/>
          <w:sz w:val="21"/>
          <w:szCs w:val="21"/>
        </w:rPr>
        <w:t>6.3.1 因发包人原因导致工程设计进度延误</w:t>
      </w:r>
    </w:p>
    <w:p>
      <w:pPr>
        <w:pStyle w:val="11"/>
        <w:spacing w:before="78" w:line="221" w:lineRule="auto"/>
        <w:ind w:left="237"/>
        <w:rPr>
          <w:sz w:val="21"/>
          <w:szCs w:val="21"/>
        </w:rPr>
      </w:pPr>
      <w:r>
        <w:rPr>
          <w:spacing w:val="-1"/>
          <w:sz w:val="21"/>
          <w:szCs w:val="21"/>
        </w:rPr>
        <w:t>（4）因发包人原因导致工程设计进度延误的其他情形：</w:t>
      </w:r>
      <w:r>
        <w:rPr>
          <w:spacing w:val="-1"/>
          <w:sz w:val="21"/>
          <w:szCs w:val="21"/>
          <w:u w:val="single" w:color="auto"/>
        </w:rPr>
        <w:t xml:space="preserve">  / </w:t>
      </w:r>
      <w:r>
        <w:rPr>
          <w:spacing w:val="-1"/>
          <w:sz w:val="21"/>
          <w:szCs w:val="21"/>
        </w:rPr>
        <w:t>。</w:t>
      </w:r>
    </w:p>
    <w:p>
      <w:pPr>
        <w:pStyle w:val="11"/>
        <w:spacing w:before="78" w:line="276" w:lineRule="auto"/>
        <w:ind w:left="21" w:right="60" w:firstLine="422"/>
        <w:rPr>
          <w:sz w:val="21"/>
          <w:szCs w:val="21"/>
        </w:rPr>
      </w:pPr>
      <w:r>
        <w:rPr>
          <w:sz w:val="21"/>
          <w:szCs w:val="21"/>
        </w:rPr>
        <w:t>设计人应在发生进度延误的情形后</w:t>
      </w:r>
      <w:r>
        <w:rPr>
          <w:sz w:val="21"/>
          <w:szCs w:val="21"/>
          <w:u w:val="single" w:color="auto"/>
        </w:rPr>
        <w:t xml:space="preserve"> 5  </w:t>
      </w:r>
      <w:r>
        <w:rPr>
          <w:spacing w:val="-93"/>
          <w:sz w:val="21"/>
          <w:szCs w:val="21"/>
        </w:rPr>
        <w:t xml:space="preserve"> </w:t>
      </w:r>
      <w:r>
        <w:rPr>
          <w:sz w:val="21"/>
          <w:szCs w:val="21"/>
        </w:rPr>
        <w:t>天内向发</w:t>
      </w:r>
      <w:r>
        <w:rPr>
          <w:spacing w:val="-1"/>
          <w:sz w:val="21"/>
          <w:szCs w:val="21"/>
        </w:rPr>
        <w:t>包人发出要求延期的书面通知，在发生该</w:t>
      </w:r>
      <w:r>
        <w:rPr>
          <w:sz w:val="21"/>
          <w:szCs w:val="21"/>
        </w:rPr>
        <w:t xml:space="preserve"> </w:t>
      </w:r>
      <w:r>
        <w:rPr>
          <w:spacing w:val="-1"/>
          <w:sz w:val="21"/>
          <w:szCs w:val="21"/>
        </w:rPr>
        <w:t>情形后</w:t>
      </w:r>
      <w:r>
        <w:rPr>
          <w:spacing w:val="-1"/>
          <w:sz w:val="21"/>
          <w:szCs w:val="21"/>
          <w:u w:val="single" w:color="auto"/>
        </w:rPr>
        <w:t xml:space="preserve"> 7  </w:t>
      </w:r>
      <w:r>
        <w:rPr>
          <w:spacing w:val="-89"/>
          <w:sz w:val="21"/>
          <w:szCs w:val="21"/>
        </w:rPr>
        <w:t xml:space="preserve"> </w:t>
      </w:r>
      <w:r>
        <w:rPr>
          <w:spacing w:val="-1"/>
          <w:sz w:val="21"/>
          <w:szCs w:val="21"/>
        </w:rPr>
        <w:t>天内提交要求延期的详细说明。</w:t>
      </w:r>
    </w:p>
    <w:p>
      <w:pPr>
        <w:pStyle w:val="11"/>
        <w:spacing w:before="33" w:line="220" w:lineRule="auto"/>
        <w:ind w:left="443"/>
        <w:rPr>
          <w:sz w:val="21"/>
          <w:szCs w:val="21"/>
        </w:rPr>
      </w:pPr>
      <w:r>
        <w:rPr>
          <w:sz w:val="21"/>
          <w:szCs w:val="21"/>
        </w:rPr>
        <w:t>发包人收到设计人要求延期的详细说明后，应在</w:t>
      </w:r>
      <w:r>
        <w:rPr>
          <w:sz w:val="21"/>
          <w:szCs w:val="21"/>
          <w:u w:val="single" w:color="auto"/>
        </w:rPr>
        <w:t xml:space="preserve">  7 </w:t>
      </w:r>
      <w:r>
        <w:rPr>
          <w:sz w:val="21"/>
          <w:szCs w:val="21"/>
        </w:rPr>
        <w:t>天内进</w:t>
      </w:r>
      <w:r>
        <w:rPr>
          <w:spacing w:val="-1"/>
          <w:sz w:val="21"/>
          <w:szCs w:val="21"/>
        </w:rPr>
        <w:t>行审查并书面答复。</w:t>
      </w:r>
    </w:p>
    <w:p>
      <w:pPr>
        <w:pStyle w:val="11"/>
        <w:spacing w:before="198" w:line="221" w:lineRule="auto"/>
        <w:ind w:left="441"/>
        <w:outlineLvl w:val="2"/>
        <w:rPr>
          <w:sz w:val="21"/>
          <w:szCs w:val="21"/>
        </w:rPr>
      </w:pPr>
      <w:r>
        <w:rPr>
          <w:spacing w:val="-1"/>
          <w:sz w:val="21"/>
          <w:szCs w:val="21"/>
        </w:rPr>
        <w:t>6.5 提前交付工程设计文件</w:t>
      </w:r>
    </w:p>
    <w:p>
      <w:pPr>
        <w:pStyle w:val="11"/>
        <w:spacing w:before="80" w:line="221" w:lineRule="auto"/>
        <w:ind w:left="441"/>
        <w:rPr>
          <w:sz w:val="21"/>
          <w:szCs w:val="21"/>
        </w:rPr>
      </w:pPr>
      <w:r>
        <w:rPr>
          <w:spacing w:val="-1"/>
          <w:sz w:val="21"/>
          <w:szCs w:val="21"/>
        </w:rPr>
        <w:t>6.5.2 提前交付工程设计文件的奖励：</w:t>
      </w:r>
      <w:r>
        <w:rPr>
          <w:spacing w:val="-1"/>
          <w:sz w:val="21"/>
          <w:szCs w:val="21"/>
          <w:u w:val="single" w:color="auto"/>
        </w:rPr>
        <w:t xml:space="preserve">  无  </w:t>
      </w:r>
      <w:r>
        <w:rPr>
          <w:spacing w:val="-1"/>
          <w:sz w:val="21"/>
          <w:szCs w:val="21"/>
        </w:rPr>
        <w:t>。</w:t>
      </w:r>
    </w:p>
    <w:p>
      <w:pPr>
        <w:pStyle w:val="11"/>
        <w:spacing w:before="77" w:line="221" w:lineRule="auto"/>
        <w:ind w:left="447"/>
        <w:outlineLvl w:val="1"/>
        <w:rPr>
          <w:sz w:val="21"/>
          <w:szCs w:val="21"/>
        </w:rPr>
      </w:pPr>
      <w:r>
        <w:rPr>
          <w:b/>
          <w:bCs/>
          <w:spacing w:val="-3"/>
          <w:sz w:val="21"/>
          <w:szCs w:val="21"/>
        </w:rPr>
        <w:t>7.</w:t>
      </w:r>
      <w:r>
        <w:rPr>
          <w:spacing w:val="-3"/>
          <w:sz w:val="21"/>
          <w:szCs w:val="21"/>
        </w:rPr>
        <w:t xml:space="preserve"> </w:t>
      </w:r>
      <w:r>
        <w:rPr>
          <w:b/>
          <w:bCs/>
          <w:spacing w:val="-3"/>
          <w:sz w:val="21"/>
          <w:szCs w:val="21"/>
        </w:rPr>
        <w:t>工程设计文件交付</w:t>
      </w:r>
    </w:p>
    <w:p>
      <w:pPr>
        <w:pStyle w:val="11"/>
        <w:spacing w:before="80" w:line="221" w:lineRule="auto"/>
        <w:ind w:left="445"/>
        <w:outlineLvl w:val="2"/>
        <w:rPr>
          <w:sz w:val="21"/>
          <w:szCs w:val="21"/>
        </w:rPr>
      </w:pPr>
      <w:r>
        <w:rPr>
          <w:spacing w:val="-1"/>
          <w:sz w:val="21"/>
          <w:szCs w:val="21"/>
        </w:rPr>
        <w:t>7.1 工程设计文件交付的内容</w:t>
      </w:r>
    </w:p>
    <w:p>
      <w:pPr>
        <w:pStyle w:val="11"/>
        <w:spacing w:before="78" w:line="256" w:lineRule="auto"/>
        <w:ind w:left="19" w:right="3" w:firstLine="425"/>
        <w:rPr>
          <w:sz w:val="21"/>
          <w:szCs w:val="21"/>
        </w:rPr>
      </w:pPr>
      <w:r>
        <w:rPr>
          <w:sz w:val="21"/>
          <w:szCs w:val="21"/>
        </w:rPr>
        <w:t>7.1.2 发包人要求设计人提交电子版设计文件的具体形式为：</w:t>
      </w:r>
      <w:r>
        <w:rPr>
          <w:sz w:val="21"/>
          <w:szCs w:val="21"/>
          <w:u w:val="single" w:color="auto"/>
        </w:rPr>
        <w:t>施工图光盘叁份，</w:t>
      </w:r>
      <w:r>
        <w:rPr>
          <w:spacing w:val="-56"/>
          <w:sz w:val="21"/>
          <w:szCs w:val="21"/>
          <w:u w:val="single" w:color="auto"/>
        </w:rPr>
        <w:t xml:space="preserve"> </w:t>
      </w:r>
      <w:r>
        <w:rPr>
          <w:sz w:val="21"/>
          <w:szCs w:val="21"/>
          <w:u w:val="single" w:color="auto"/>
        </w:rPr>
        <w:t>内容要与</w:t>
      </w:r>
      <w:r>
        <w:rPr>
          <w:sz w:val="21"/>
          <w:szCs w:val="21"/>
        </w:rPr>
        <w:t xml:space="preserve"> </w:t>
      </w:r>
      <w:r>
        <w:rPr>
          <w:spacing w:val="-3"/>
          <w:sz w:val="21"/>
          <w:szCs w:val="21"/>
          <w:u w:val="single" w:color="auto"/>
        </w:rPr>
        <w:t>施工图一致，提供的</w:t>
      </w:r>
      <w:r>
        <w:rPr>
          <w:spacing w:val="-38"/>
          <w:sz w:val="21"/>
          <w:szCs w:val="21"/>
          <w:u w:val="single" w:color="auto"/>
        </w:rPr>
        <w:t xml:space="preserve"> </w:t>
      </w:r>
      <w:r>
        <w:rPr>
          <w:spacing w:val="-3"/>
          <w:sz w:val="21"/>
          <w:szCs w:val="21"/>
          <w:u w:val="single" w:color="auto"/>
        </w:rPr>
        <w:t>CAD</w:t>
      </w:r>
      <w:r>
        <w:rPr>
          <w:spacing w:val="-25"/>
          <w:sz w:val="21"/>
          <w:szCs w:val="21"/>
          <w:u w:val="single" w:color="auto"/>
        </w:rPr>
        <w:t xml:space="preserve"> </w:t>
      </w:r>
      <w:r>
        <w:rPr>
          <w:spacing w:val="-3"/>
          <w:sz w:val="21"/>
          <w:szCs w:val="21"/>
          <w:u w:val="single" w:color="auto"/>
        </w:rPr>
        <w:t>图和</w:t>
      </w:r>
      <w:r>
        <w:rPr>
          <w:spacing w:val="-48"/>
          <w:sz w:val="21"/>
          <w:szCs w:val="21"/>
          <w:u w:val="single" w:color="auto"/>
        </w:rPr>
        <w:t xml:space="preserve"> </w:t>
      </w:r>
      <w:r>
        <w:rPr>
          <w:spacing w:val="-3"/>
          <w:sz w:val="21"/>
          <w:szCs w:val="21"/>
          <w:u w:val="single" w:color="auto"/>
        </w:rPr>
        <w:t>PDF</w:t>
      </w:r>
      <w:r>
        <w:rPr>
          <w:spacing w:val="-44"/>
          <w:sz w:val="21"/>
          <w:szCs w:val="21"/>
          <w:u w:val="single" w:color="auto"/>
        </w:rPr>
        <w:t xml:space="preserve"> </w:t>
      </w:r>
      <w:r>
        <w:rPr>
          <w:spacing w:val="-3"/>
          <w:sz w:val="21"/>
          <w:szCs w:val="21"/>
          <w:u w:val="single" w:color="auto"/>
        </w:rPr>
        <w:t>格式</w:t>
      </w:r>
      <w:r>
        <w:rPr>
          <w:spacing w:val="-3"/>
          <w:sz w:val="21"/>
          <w:szCs w:val="21"/>
        </w:rPr>
        <w:t>。</w:t>
      </w:r>
    </w:p>
    <w:p>
      <w:pPr>
        <w:pStyle w:val="11"/>
        <w:spacing w:before="77" w:line="267" w:lineRule="auto"/>
        <w:ind w:left="20" w:right="4" w:firstLine="424"/>
        <w:rPr>
          <w:sz w:val="21"/>
          <w:szCs w:val="21"/>
        </w:rPr>
      </w:pPr>
      <w:r>
        <w:rPr>
          <w:spacing w:val="-4"/>
          <w:sz w:val="21"/>
          <w:szCs w:val="21"/>
        </w:rPr>
        <w:t>7.2</w:t>
      </w:r>
      <w:r>
        <w:rPr>
          <w:spacing w:val="-40"/>
          <w:sz w:val="21"/>
          <w:szCs w:val="21"/>
        </w:rPr>
        <w:t xml:space="preserve"> </w:t>
      </w:r>
      <w:r>
        <w:rPr>
          <w:spacing w:val="-4"/>
          <w:sz w:val="21"/>
          <w:szCs w:val="21"/>
        </w:rPr>
        <w:t>工程设计文件交付的名称、时间和份数</w:t>
      </w:r>
      <w:r>
        <w:rPr>
          <w:spacing w:val="-41"/>
          <w:sz w:val="21"/>
          <w:szCs w:val="21"/>
        </w:rPr>
        <w:t>：</w:t>
      </w:r>
      <w:r>
        <w:rPr>
          <w:sz w:val="21"/>
          <w:szCs w:val="21"/>
        </w:rPr>
        <w:t>（1）方案设计一式八份；（2）最终修订初步设 计六份(含概算六份)；（3）施工图设计一式12 份，其中全部专业共同装订成一册，做 8 套， 合订本预算 4 套。施工图及预算电子版光盘（CAD）叁份，内容要与施工图一致。</w:t>
      </w:r>
    </w:p>
    <w:p>
      <w:pPr>
        <w:pStyle w:val="11"/>
        <w:spacing w:before="82" w:line="281" w:lineRule="auto"/>
        <w:ind w:left="20" w:firstLine="423"/>
        <w:jc w:val="both"/>
        <w:rPr>
          <w:sz w:val="21"/>
          <w:szCs w:val="21"/>
        </w:rPr>
      </w:pPr>
      <w:r>
        <w:rPr>
          <w:spacing w:val="-2"/>
          <w:sz w:val="21"/>
          <w:szCs w:val="21"/>
        </w:rPr>
        <w:t>设计人完成设计成果文件并通过相关部门审查，且按专用合同条款的</w:t>
      </w:r>
      <w:r>
        <w:rPr>
          <w:spacing w:val="-31"/>
          <w:sz w:val="21"/>
          <w:szCs w:val="21"/>
        </w:rPr>
        <w:t xml:space="preserve"> </w:t>
      </w:r>
      <w:r>
        <w:rPr>
          <w:spacing w:val="-2"/>
          <w:sz w:val="21"/>
          <w:szCs w:val="21"/>
        </w:rPr>
        <w:t>7.1、7.2</w:t>
      </w:r>
      <w:r>
        <w:rPr>
          <w:spacing w:val="-43"/>
          <w:sz w:val="21"/>
          <w:szCs w:val="21"/>
        </w:rPr>
        <w:t xml:space="preserve"> </w:t>
      </w:r>
      <w:r>
        <w:rPr>
          <w:spacing w:val="-2"/>
          <w:sz w:val="21"/>
          <w:szCs w:val="21"/>
        </w:rPr>
        <w:t>款交付给发</w:t>
      </w:r>
      <w:r>
        <w:rPr>
          <w:sz w:val="21"/>
          <w:szCs w:val="21"/>
        </w:rPr>
        <w:t xml:space="preserve"> </w:t>
      </w:r>
      <w:r>
        <w:rPr>
          <w:spacing w:val="-1"/>
          <w:sz w:val="21"/>
          <w:szCs w:val="21"/>
        </w:rPr>
        <w:t>包人之日为设计阶段完成日。发包人签收设计文件后的 7 日内，发包人应出具设计阶</w:t>
      </w:r>
      <w:r>
        <w:rPr>
          <w:spacing w:val="-2"/>
          <w:sz w:val="21"/>
          <w:szCs w:val="21"/>
        </w:rPr>
        <w:t>段完成证</w:t>
      </w:r>
      <w:r>
        <w:rPr>
          <w:sz w:val="21"/>
          <w:szCs w:val="21"/>
        </w:rPr>
        <w:t xml:space="preserve"> 明；如发包人未在约定的期限内出具证明，视为发包人认可该设计阶段完成的日期。</w:t>
      </w:r>
    </w:p>
    <w:p>
      <w:pPr>
        <w:pStyle w:val="11"/>
        <w:spacing w:before="29" w:line="278" w:lineRule="auto"/>
        <w:ind w:left="22" w:firstLine="420"/>
        <w:rPr>
          <w:sz w:val="21"/>
          <w:szCs w:val="21"/>
        </w:rPr>
      </w:pPr>
      <w:r>
        <w:rPr>
          <w:spacing w:val="-1"/>
          <w:sz w:val="21"/>
          <w:szCs w:val="21"/>
        </w:rPr>
        <w:t>工程竣工验收日为设计服务完成日。工程竣工验收后的 7 日内，发包</w:t>
      </w:r>
      <w:r>
        <w:rPr>
          <w:spacing w:val="-2"/>
          <w:sz w:val="21"/>
          <w:szCs w:val="21"/>
        </w:rPr>
        <w:t>人应出具设计服务完</w:t>
      </w:r>
      <w:r>
        <w:rPr>
          <w:sz w:val="21"/>
          <w:szCs w:val="21"/>
        </w:rPr>
        <w:t xml:space="preserve"> 成证明。如发包人未在约定的期限内出具证明，视为发包人认可该设计服务阶段完成的</w:t>
      </w:r>
      <w:r>
        <w:rPr>
          <w:spacing w:val="-1"/>
          <w:sz w:val="21"/>
          <w:szCs w:val="21"/>
        </w:rPr>
        <w:t>日期。</w:t>
      </w:r>
    </w:p>
    <w:p>
      <w:pPr>
        <w:spacing w:line="278" w:lineRule="auto"/>
        <w:rPr>
          <w:sz w:val="21"/>
          <w:szCs w:val="21"/>
        </w:rPr>
        <w:sectPr>
          <w:footerReference r:id="rId11" w:type="default"/>
          <w:pgSz w:w="11907" w:h="16841"/>
          <w:pgMar w:top="400" w:right="1430" w:bottom="1015" w:left="1785" w:header="0" w:footer="851" w:gutter="0"/>
          <w:cols w:space="720" w:num="1"/>
        </w:sectPr>
      </w:pPr>
    </w:p>
    <w:p>
      <w:pPr>
        <w:spacing w:line="262" w:lineRule="auto"/>
        <w:ind w:left="0" w:leftChars="0" w:firstLine="0" w:firstLineChars="0"/>
        <w:rPr>
          <w:rFonts w:ascii="Arial"/>
          <w:sz w:val="21"/>
        </w:rPr>
      </w:pPr>
    </w:p>
    <w:p>
      <w:pPr>
        <w:pStyle w:val="11"/>
        <w:spacing w:before="69" w:line="221" w:lineRule="auto"/>
        <w:ind w:left="443"/>
        <w:outlineLvl w:val="1"/>
        <w:rPr>
          <w:sz w:val="21"/>
          <w:szCs w:val="21"/>
        </w:rPr>
      </w:pPr>
      <w:r>
        <w:rPr>
          <w:b/>
          <w:bCs/>
          <w:spacing w:val="-2"/>
          <w:sz w:val="21"/>
          <w:szCs w:val="21"/>
        </w:rPr>
        <w:t>8.</w:t>
      </w:r>
      <w:r>
        <w:rPr>
          <w:spacing w:val="-2"/>
          <w:sz w:val="21"/>
          <w:szCs w:val="21"/>
        </w:rPr>
        <w:t xml:space="preserve"> </w:t>
      </w:r>
      <w:r>
        <w:rPr>
          <w:b/>
          <w:bCs/>
          <w:spacing w:val="-2"/>
          <w:sz w:val="21"/>
          <w:szCs w:val="21"/>
        </w:rPr>
        <w:t>工程设计文件审查</w:t>
      </w:r>
    </w:p>
    <w:p>
      <w:pPr>
        <w:pStyle w:val="11"/>
        <w:spacing w:before="79" w:line="221" w:lineRule="auto"/>
        <w:ind w:left="441"/>
        <w:rPr>
          <w:spacing w:val="-1"/>
          <w:sz w:val="21"/>
          <w:szCs w:val="21"/>
        </w:rPr>
      </w:pPr>
      <w:r>
        <w:rPr>
          <w:spacing w:val="-1"/>
          <w:sz w:val="21"/>
          <w:szCs w:val="21"/>
        </w:rPr>
        <w:t>8.1 发包人对设计人的设计文件审查期限不超过</w:t>
      </w:r>
      <w:r>
        <w:rPr>
          <w:spacing w:val="-1"/>
          <w:sz w:val="21"/>
          <w:szCs w:val="21"/>
          <w:u w:val="single" w:color="auto"/>
        </w:rPr>
        <w:t xml:space="preserve"> 20 </w:t>
      </w:r>
      <w:r>
        <w:rPr>
          <w:spacing w:val="-1"/>
          <w:sz w:val="21"/>
          <w:szCs w:val="21"/>
        </w:rPr>
        <w:t>天。</w:t>
      </w:r>
    </w:p>
    <w:p>
      <w:pPr>
        <w:pStyle w:val="11"/>
        <w:spacing w:before="79" w:line="221" w:lineRule="auto"/>
        <w:ind w:left="441"/>
        <w:rPr>
          <w:sz w:val="21"/>
          <w:szCs w:val="21"/>
        </w:rPr>
      </w:pPr>
      <w:r>
        <w:rPr>
          <w:sz w:val="21"/>
          <w:szCs w:val="21"/>
        </w:rPr>
        <w:t>8.2 发包人应在审查同意设计人的工程设计文件后在</w:t>
      </w:r>
      <w:r>
        <w:rPr>
          <w:sz w:val="21"/>
          <w:szCs w:val="21"/>
          <w:u w:val="single" w:color="auto"/>
        </w:rPr>
        <w:t xml:space="preserve"> 20 </w:t>
      </w:r>
      <w:r>
        <w:rPr>
          <w:sz w:val="21"/>
          <w:szCs w:val="21"/>
        </w:rPr>
        <w:t>天内，向政府有关部门报</w:t>
      </w:r>
      <w:r>
        <w:rPr>
          <w:spacing w:val="-1"/>
          <w:sz w:val="21"/>
          <w:szCs w:val="21"/>
        </w:rPr>
        <w:t>送工程</w:t>
      </w:r>
      <w:r>
        <w:rPr>
          <w:sz w:val="21"/>
          <w:szCs w:val="21"/>
        </w:rPr>
        <w:t xml:space="preserve"> </w:t>
      </w:r>
      <w:r>
        <w:rPr>
          <w:spacing w:val="-5"/>
          <w:sz w:val="21"/>
          <w:szCs w:val="21"/>
        </w:rPr>
        <w:t>设计文件。</w:t>
      </w:r>
    </w:p>
    <w:p>
      <w:pPr>
        <w:pStyle w:val="11"/>
        <w:spacing w:before="77" w:line="220" w:lineRule="auto"/>
        <w:ind w:left="395"/>
        <w:rPr>
          <w:sz w:val="21"/>
          <w:szCs w:val="21"/>
        </w:rPr>
      </w:pPr>
      <w:r>
        <w:rPr>
          <w:sz w:val="21"/>
          <w:szCs w:val="21"/>
        </w:rPr>
        <w:t>8.3 工程设计审查形式及时间安排：</w:t>
      </w:r>
      <w:r>
        <w:rPr>
          <w:sz w:val="21"/>
          <w:szCs w:val="21"/>
          <w:u w:val="single" w:color="auto"/>
        </w:rPr>
        <w:t xml:space="preserve"> 发包人负责组织工程设计文件</w:t>
      </w:r>
      <w:r>
        <w:rPr>
          <w:spacing w:val="-1"/>
          <w:sz w:val="21"/>
          <w:szCs w:val="21"/>
          <w:u w:val="single" w:color="auto"/>
        </w:rPr>
        <w:t>审查会议。</w:t>
      </w:r>
    </w:p>
    <w:p>
      <w:pPr>
        <w:pStyle w:val="11"/>
        <w:spacing w:before="80" w:line="221" w:lineRule="auto"/>
        <w:ind w:left="443"/>
        <w:outlineLvl w:val="1"/>
        <w:rPr>
          <w:sz w:val="21"/>
          <w:szCs w:val="21"/>
        </w:rPr>
      </w:pPr>
      <w:r>
        <w:rPr>
          <w:b/>
          <w:bCs/>
          <w:spacing w:val="-2"/>
          <w:sz w:val="21"/>
          <w:szCs w:val="21"/>
        </w:rPr>
        <w:t>9.</w:t>
      </w:r>
      <w:r>
        <w:rPr>
          <w:spacing w:val="-2"/>
          <w:sz w:val="21"/>
          <w:szCs w:val="21"/>
        </w:rPr>
        <w:t xml:space="preserve"> </w:t>
      </w:r>
      <w:r>
        <w:rPr>
          <w:b/>
          <w:bCs/>
          <w:spacing w:val="-2"/>
          <w:sz w:val="21"/>
          <w:szCs w:val="21"/>
        </w:rPr>
        <w:t>施工现场配合服务</w:t>
      </w:r>
    </w:p>
    <w:p>
      <w:pPr>
        <w:pStyle w:val="11"/>
        <w:spacing w:before="78" w:line="220" w:lineRule="auto"/>
        <w:ind w:left="441"/>
        <w:rPr>
          <w:spacing w:val="-1"/>
          <w:sz w:val="21"/>
          <w:szCs w:val="21"/>
        </w:rPr>
      </w:pPr>
      <w:r>
        <w:rPr>
          <w:sz w:val="21"/>
          <w:szCs w:val="21"/>
        </w:rPr>
        <w:t>9.1 发包人为设计人派赴现场的工作人员提供便利条件的内容包括：</w:t>
      </w:r>
      <w:r>
        <w:rPr>
          <w:sz w:val="21"/>
          <w:szCs w:val="21"/>
          <w:u w:val="single" w:color="auto"/>
        </w:rPr>
        <w:t xml:space="preserve"> </w:t>
      </w:r>
      <w:r>
        <w:rPr>
          <w:spacing w:val="-1"/>
          <w:sz w:val="21"/>
          <w:szCs w:val="21"/>
          <w:u w:val="single" w:color="auto"/>
        </w:rPr>
        <w:t xml:space="preserve">  无   </w:t>
      </w:r>
      <w:r>
        <w:rPr>
          <w:spacing w:val="-1"/>
          <w:sz w:val="21"/>
          <w:szCs w:val="21"/>
        </w:rPr>
        <w:t>。</w:t>
      </w:r>
    </w:p>
    <w:p>
      <w:pPr>
        <w:pStyle w:val="11"/>
        <w:keepNext w:val="0"/>
        <w:keepLines w:val="0"/>
        <w:pageBreakBefore w:val="0"/>
        <w:widowControl/>
        <w:kinsoku/>
        <w:wordWrap/>
        <w:overflowPunct/>
        <w:topLinePunct w:val="0"/>
        <w:autoSpaceDE/>
        <w:autoSpaceDN/>
        <w:bidi w:val="0"/>
        <w:adjustRightInd/>
        <w:snapToGrid/>
        <w:spacing w:before="78" w:line="240" w:lineRule="auto"/>
        <w:ind w:left="-198" w:leftChars="0" w:right="-28" w:hanging="68" w:firstLineChars="0"/>
        <w:textAlignment w:val="auto"/>
        <w:rPr>
          <w:sz w:val="21"/>
          <w:szCs w:val="21"/>
        </w:rPr>
      </w:pPr>
      <w:r>
        <w:rPr>
          <w:sz w:val="21"/>
          <w:szCs w:val="21"/>
        </w:rPr>
        <w:t>9.2 设计人应当在施工阶段提供施工现场配合服务。设计人应当在工程施工开始至</w:t>
      </w:r>
      <w:r>
        <w:rPr>
          <w:spacing w:val="-1"/>
          <w:sz w:val="21"/>
          <w:szCs w:val="21"/>
        </w:rPr>
        <w:t>工程竣</w:t>
      </w:r>
      <w:r>
        <w:rPr>
          <w:sz w:val="21"/>
          <w:szCs w:val="21"/>
        </w:rPr>
        <w:t xml:space="preserve"> 工验收合格期间派出项目负责人或专业负责人根据发包人要求提供相应变更的设计文件，</w:t>
      </w:r>
      <w:r>
        <w:rPr>
          <w:spacing w:val="-1"/>
          <w:sz w:val="21"/>
          <w:szCs w:val="21"/>
        </w:rPr>
        <w:t>服务</w:t>
      </w:r>
      <w:r>
        <w:rPr>
          <w:sz w:val="21"/>
          <w:szCs w:val="21"/>
        </w:rPr>
        <w:t xml:space="preserve"> 内容包括但不限于提供设计技术交底、及时解决施工中设计技术问题、签字确认施工过</w:t>
      </w:r>
      <w:r>
        <w:rPr>
          <w:spacing w:val="-1"/>
          <w:sz w:val="21"/>
          <w:szCs w:val="21"/>
        </w:rPr>
        <w:t>程中的</w:t>
      </w:r>
      <w:r>
        <w:rPr>
          <w:sz w:val="21"/>
          <w:szCs w:val="21"/>
        </w:rPr>
        <w:t xml:space="preserve"> </w:t>
      </w:r>
      <w:r>
        <w:rPr>
          <w:spacing w:val="-1"/>
          <w:sz w:val="21"/>
          <w:szCs w:val="21"/>
        </w:rPr>
        <w:t>相关文件、配合发包人进行外部协调、参加竣工验收等工作。</w:t>
      </w:r>
    </w:p>
    <w:p>
      <w:pPr>
        <w:pStyle w:val="11"/>
        <w:spacing w:before="81" w:line="219" w:lineRule="auto"/>
        <w:ind w:left="458"/>
        <w:outlineLvl w:val="1"/>
        <w:rPr>
          <w:sz w:val="21"/>
          <w:szCs w:val="21"/>
        </w:rPr>
      </w:pPr>
      <w:r>
        <w:rPr>
          <w:b/>
          <w:bCs/>
          <w:spacing w:val="-4"/>
          <w:sz w:val="21"/>
          <w:szCs w:val="21"/>
        </w:rPr>
        <w:t>10.</w:t>
      </w:r>
      <w:r>
        <w:rPr>
          <w:spacing w:val="-4"/>
          <w:sz w:val="21"/>
          <w:szCs w:val="21"/>
        </w:rPr>
        <w:t xml:space="preserve"> </w:t>
      </w:r>
      <w:r>
        <w:rPr>
          <w:b/>
          <w:bCs/>
          <w:spacing w:val="-4"/>
          <w:sz w:val="21"/>
          <w:szCs w:val="21"/>
        </w:rPr>
        <w:t>合同价款与支付</w:t>
      </w:r>
    </w:p>
    <w:p>
      <w:pPr>
        <w:pStyle w:val="11"/>
        <w:spacing w:before="79" w:line="219" w:lineRule="auto"/>
        <w:ind w:left="455"/>
        <w:outlineLvl w:val="2"/>
        <w:rPr>
          <w:sz w:val="21"/>
          <w:szCs w:val="21"/>
        </w:rPr>
      </w:pPr>
      <w:r>
        <w:rPr>
          <w:spacing w:val="-2"/>
          <w:sz w:val="21"/>
          <w:szCs w:val="21"/>
        </w:rPr>
        <w:t>10.2 合同价格形式下浮系数价格合同</w:t>
      </w:r>
    </w:p>
    <w:p>
      <w:pPr>
        <w:pStyle w:val="11"/>
        <w:keepNext w:val="0"/>
        <w:keepLines w:val="0"/>
        <w:pageBreakBefore w:val="0"/>
        <w:widowControl/>
        <w:kinsoku/>
        <w:wordWrap/>
        <w:overflowPunct/>
        <w:topLinePunct w:val="0"/>
        <w:autoSpaceDE/>
        <w:autoSpaceDN/>
        <w:bidi w:val="0"/>
        <w:adjustRightInd/>
        <w:snapToGrid/>
        <w:spacing w:before="0" w:after="0" w:afterAutospacing="0" w:line="221" w:lineRule="auto"/>
        <w:ind w:left="-266" w:right="-28" w:firstLine="0"/>
        <w:textAlignment w:val="auto"/>
        <w:rPr>
          <w:sz w:val="21"/>
          <w:szCs w:val="21"/>
        </w:rPr>
      </w:pPr>
      <w:r>
        <w:rPr>
          <w:sz w:val="21"/>
          <w:szCs w:val="21"/>
        </w:rPr>
        <w:t>10.2.1 设计费=工程设计收费基准价×（1—中标的下浮系数报价）【备注：本工程按《广西 壮族自治区工程建设其他费用定额（桂建标[2018]37 号)》、《工程勘察设计收费标准》（2002 年 修订 版）标准，计算本工程设计收费基准价。其中工程专业调整系数取1.0，工程复杂程度调 整系数 取1.0，附加调整系数1.0，施工图预算编制费按5%收取，该费用已经包含方案设计、 初步设计（投资概算）、施工图（含预算）、工程概算编制、规划技术审查费用的相关设计服务 及按上述合同条件、技术规范以中标下浮系数承包本项目招标范围内的设计工作的所有内容费 用及相关服务。</w:t>
      </w:r>
    </w:p>
    <w:p>
      <w:pPr>
        <w:pStyle w:val="11"/>
        <w:keepNext w:val="0"/>
        <w:keepLines w:val="0"/>
        <w:pageBreakBefore w:val="0"/>
        <w:widowControl/>
        <w:kinsoku/>
        <w:wordWrap/>
        <w:overflowPunct/>
        <w:topLinePunct w:val="0"/>
        <w:autoSpaceDE/>
        <w:autoSpaceDN/>
        <w:bidi w:val="0"/>
        <w:adjustRightInd/>
        <w:snapToGrid/>
        <w:spacing w:before="0" w:after="0" w:afterAutospacing="0" w:line="221" w:lineRule="auto"/>
        <w:ind w:left="-266" w:right="-28" w:firstLine="0"/>
        <w:textAlignment w:val="auto"/>
        <w:rPr>
          <w:sz w:val="21"/>
          <w:szCs w:val="21"/>
        </w:rPr>
      </w:pPr>
      <w:r>
        <w:rPr>
          <w:sz w:val="21"/>
          <w:szCs w:val="21"/>
        </w:rPr>
        <w:t>10.2.2 工程设计费结算时间为项目竣工验收合格后，工程设计费结算最终的计费基价以批复的</w:t>
      </w:r>
      <w:r>
        <w:rPr>
          <w:rFonts w:hint="eastAsia"/>
          <w:sz w:val="21"/>
          <w:szCs w:val="21"/>
          <w:lang w:val="en-US" w:eastAsia="zh-CN"/>
        </w:rPr>
        <w:t>工程可行性研究对应估算建安投资</w:t>
      </w:r>
      <w:r>
        <w:rPr>
          <w:sz w:val="21"/>
          <w:szCs w:val="21"/>
        </w:rPr>
        <w:t>根据上述收费标准确定，最终结算价按国家及南宁市有关规定执行审定后为准。对发包人向设计人超付的款项，设计人应在发包人确 定最终结算价之日30 日内返还发包人，逾期返还的，设计人须向发包人支付应返还款项每日2‰的违约金。</w:t>
      </w:r>
    </w:p>
    <w:p>
      <w:pPr>
        <w:pStyle w:val="11"/>
        <w:keepNext w:val="0"/>
        <w:keepLines w:val="0"/>
        <w:pageBreakBefore w:val="0"/>
        <w:widowControl/>
        <w:kinsoku/>
        <w:wordWrap/>
        <w:overflowPunct/>
        <w:topLinePunct w:val="0"/>
        <w:autoSpaceDE/>
        <w:autoSpaceDN/>
        <w:bidi w:val="0"/>
        <w:adjustRightInd/>
        <w:snapToGrid/>
        <w:spacing w:before="0" w:after="0" w:afterAutospacing="0" w:line="221" w:lineRule="auto"/>
        <w:ind w:left="-266" w:right="-28" w:firstLine="0"/>
        <w:textAlignment w:val="auto"/>
        <w:rPr>
          <w:sz w:val="21"/>
          <w:szCs w:val="21"/>
        </w:rPr>
      </w:pPr>
      <w:r>
        <w:rPr>
          <w:sz w:val="21"/>
          <w:szCs w:val="21"/>
        </w:rPr>
        <w:t>10.2.3 本合同价暂定含增值税价为：</w:t>
      </w:r>
      <w:r>
        <w:rPr>
          <w:sz w:val="21"/>
          <w:szCs w:val="21"/>
          <w:u w:val="single"/>
        </w:rPr>
        <w:t>人民币（大写）             (含税价格) (¥       )</w:t>
      </w:r>
      <w:r>
        <w:rPr>
          <w:rFonts w:hint="eastAsia"/>
          <w:sz w:val="21"/>
          <w:szCs w:val="21"/>
          <w:u w:val="single"/>
          <w:lang w:eastAsia="zh-CN"/>
        </w:rPr>
        <w:t>，</w:t>
      </w:r>
      <w:r>
        <w:rPr>
          <w:sz w:val="21"/>
          <w:szCs w:val="21"/>
          <w:u w:val="single"/>
        </w:rPr>
        <w:t>其中增值税为人民币（大写）        (¥        ),税率     % 。</w:t>
      </w:r>
    </w:p>
    <w:p>
      <w:pPr>
        <w:pStyle w:val="11"/>
        <w:keepNext w:val="0"/>
        <w:keepLines w:val="0"/>
        <w:pageBreakBefore w:val="0"/>
        <w:widowControl/>
        <w:kinsoku/>
        <w:wordWrap/>
        <w:overflowPunct/>
        <w:topLinePunct w:val="0"/>
        <w:autoSpaceDE/>
        <w:autoSpaceDN/>
        <w:bidi w:val="0"/>
        <w:adjustRightInd/>
        <w:snapToGrid/>
        <w:spacing w:before="0" w:after="0" w:afterAutospacing="0" w:line="221" w:lineRule="auto"/>
        <w:ind w:left="-266" w:right="-28" w:firstLine="0"/>
        <w:textAlignment w:val="auto"/>
        <w:rPr>
          <w:sz w:val="21"/>
          <w:szCs w:val="21"/>
        </w:rPr>
      </w:pPr>
      <w:r>
        <w:rPr>
          <w:spacing w:val="-1"/>
          <w:sz w:val="21"/>
          <w:szCs w:val="21"/>
        </w:rPr>
        <w:t>10.2 如因政府或相关主管部门要求导</w:t>
      </w:r>
      <w:r>
        <w:rPr>
          <w:spacing w:val="-2"/>
          <w:sz w:val="21"/>
          <w:szCs w:val="21"/>
        </w:rPr>
        <w:t>致项目中断设计，设计人须无条件服从，按当前已获</w:t>
      </w:r>
      <w:r>
        <w:rPr>
          <w:sz w:val="21"/>
          <w:szCs w:val="21"/>
        </w:rPr>
        <w:t xml:space="preserve"> </w:t>
      </w:r>
      <w:r>
        <w:rPr>
          <w:spacing w:val="-2"/>
          <w:sz w:val="21"/>
          <w:szCs w:val="21"/>
        </w:rPr>
        <w:t>批复的设计成果文件进行结算。</w:t>
      </w:r>
    </w:p>
    <w:p>
      <w:pPr>
        <w:pStyle w:val="11"/>
        <w:spacing w:before="80" w:line="221" w:lineRule="auto"/>
        <w:ind w:left="455"/>
        <w:rPr>
          <w:sz w:val="21"/>
          <w:szCs w:val="21"/>
        </w:rPr>
      </w:pPr>
      <w:r>
        <w:rPr>
          <w:spacing w:val="-2"/>
          <w:sz w:val="21"/>
          <w:szCs w:val="21"/>
        </w:rPr>
        <w:t>10.3 定金或预付款</w:t>
      </w:r>
    </w:p>
    <w:p>
      <w:pPr>
        <w:pStyle w:val="11"/>
        <w:spacing w:before="78" w:line="220" w:lineRule="auto"/>
        <w:ind w:left="441"/>
        <w:rPr>
          <w:sz w:val="21"/>
          <w:szCs w:val="21"/>
        </w:rPr>
      </w:pPr>
      <w:r>
        <w:rPr>
          <w:spacing w:val="-2"/>
          <w:sz w:val="21"/>
          <w:szCs w:val="21"/>
        </w:rPr>
        <w:t>本项目无定金或预付款。</w:t>
      </w:r>
    </w:p>
    <w:p>
      <w:pPr>
        <w:pStyle w:val="11"/>
        <w:spacing w:before="82" w:line="219" w:lineRule="auto"/>
        <w:ind w:left="455"/>
        <w:rPr>
          <w:spacing w:val="-3"/>
          <w:sz w:val="21"/>
          <w:szCs w:val="21"/>
        </w:rPr>
      </w:pPr>
      <w:r>
        <w:rPr>
          <w:spacing w:val="-3"/>
          <w:sz w:val="21"/>
          <w:szCs w:val="21"/>
        </w:rPr>
        <w:t>10.4</w:t>
      </w:r>
      <w:r>
        <w:rPr>
          <w:spacing w:val="-34"/>
          <w:sz w:val="21"/>
          <w:szCs w:val="21"/>
        </w:rPr>
        <w:t xml:space="preserve"> </w:t>
      </w:r>
      <w:r>
        <w:rPr>
          <w:spacing w:val="-3"/>
          <w:sz w:val="21"/>
          <w:szCs w:val="21"/>
        </w:rPr>
        <w:t>合同价款的结算与支付</w:t>
      </w:r>
    </w:p>
    <w:p>
      <w:pPr>
        <w:pStyle w:val="11"/>
        <w:spacing w:before="82" w:line="219" w:lineRule="auto"/>
        <w:ind w:left="455"/>
        <w:rPr>
          <w:sz w:val="21"/>
          <w:szCs w:val="21"/>
        </w:rPr>
      </w:pPr>
      <w:r>
        <w:rPr>
          <w:spacing w:val="-1"/>
          <w:sz w:val="21"/>
          <w:szCs w:val="21"/>
        </w:rPr>
        <w:t>10.4.1</w:t>
      </w:r>
      <w:r>
        <w:rPr>
          <w:spacing w:val="-21"/>
          <w:sz w:val="21"/>
          <w:szCs w:val="21"/>
        </w:rPr>
        <w:t xml:space="preserve"> </w:t>
      </w:r>
      <w:r>
        <w:rPr>
          <w:spacing w:val="-1"/>
          <w:sz w:val="21"/>
          <w:szCs w:val="21"/>
        </w:rPr>
        <w:t>以下各节点进度款支付需经发包人审核，由设计人提供相应</w:t>
      </w:r>
      <w:r>
        <w:rPr>
          <w:spacing w:val="-2"/>
          <w:sz w:val="21"/>
          <w:szCs w:val="21"/>
        </w:rPr>
        <w:t>的资料给发包人，经发包人审核通过后依进度支付设计费</w:t>
      </w:r>
      <w:r>
        <w:rPr>
          <w:rFonts w:hint="eastAsia"/>
          <w:spacing w:val="-2"/>
          <w:sz w:val="21"/>
          <w:szCs w:val="21"/>
          <w:lang w:eastAsia="zh-CN"/>
        </w:rPr>
        <w:t>，</w:t>
      </w:r>
      <w:r>
        <w:rPr>
          <w:rFonts w:hint="eastAsia" w:ascii="Times New Roman" w:hAnsi="Times New Roman" w:eastAsia="宋体" w:cs="Times New Roman"/>
          <w:sz w:val="21"/>
          <w:szCs w:val="21"/>
        </w:rPr>
        <w:t>发包人接到</w:t>
      </w:r>
      <w:r>
        <w:rPr>
          <w:rFonts w:hint="eastAsia" w:ascii="Times New Roman" w:hAnsi="Times New Roman" w:eastAsia="宋体" w:cs="Times New Roman"/>
          <w:sz w:val="21"/>
          <w:szCs w:val="21"/>
          <w:lang w:val="en-US" w:eastAsia="zh-CN"/>
        </w:rPr>
        <w:t>合格的请款</w:t>
      </w:r>
      <w:r>
        <w:rPr>
          <w:rFonts w:hint="eastAsia" w:ascii="Times New Roman" w:hAnsi="Times New Roman" w:eastAsia="宋体" w:cs="Times New Roman"/>
          <w:sz w:val="21"/>
          <w:szCs w:val="21"/>
        </w:rPr>
        <w:t>报送材料后向财政申请资金，财政拨款到位后14天内予以支付</w:t>
      </w:r>
      <w:r>
        <w:rPr>
          <w:spacing w:val="-2"/>
          <w:sz w:val="21"/>
          <w:szCs w:val="21"/>
        </w:rPr>
        <w:t>。</w:t>
      </w:r>
    </w:p>
    <w:p>
      <w:pPr>
        <w:pStyle w:val="11"/>
        <w:spacing w:before="29" w:line="219" w:lineRule="auto"/>
        <w:jc w:val="both"/>
        <w:rPr>
          <w:sz w:val="21"/>
          <w:szCs w:val="21"/>
        </w:rPr>
      </w:pPr>
      <w:r>
        <w:rPr>
          <w:spacing w:val="-4"/>
          <w:sz w:val="21"/>
          <w:szCs w:val="21"/>
        </w:rPr>
        <w:t>（1）设计人向发包人提交方案设计文件并获批复，发包人向设计人支付合同暂定价的</w:t>
      </w:r>
      <w:r>
        <w:rPr>
          <w:spacing w:val="-42"/>
          <w:sz w:val="21"/>
          <w:szCs w:val="21"/>
        </w:rPr>
        <w:t xml:space="preserve"> </w:t>
      </w:r>
      <w:r>
        <w:rPr>
          <w:spacing w:val="-4"/>
          <w:sz w:val="21"/>
          <w:szCs w:val="21"/>
        </w:rPr>
        <w:t>20%；</w:t>
      </w:r>
    </w:p>
    <w:p>
      <w:pPr>
        <w:pStyle w:val="11"/>
        <w:spacing w:before="82" w:line="256" w:lineRule="auto"/>
        <w:ind w:right="244"/>
        <w:rPr>
          <w:sz w:val="21"/>
          <w:szCs w:val="21"/>
        </w:rPr>
      </w:pPr>
      <w:r>
        <w:rPr>
          <w:spacing w:val="-1"/>
          <w:sz w:val="21"/>
          <w:szCs w:val="21"/>
        </w:rPr>
        <w:t>（2）完成初步设计并上报市发改委出具审核意见后，发包人向设计人支付合同暂定价的</w:t>
      </w:r>
      <w:r>
        <w:rPr>
          <w:spacing w:val="13"/>
          <w:sz w:val="21"/>
          <w:szCs w:val="21"/>
        </w:rPr>
        <w:t xml:space="preserve"> </w:t>
      </w:r>
      <w:r>
        <w:rPr>
          <w:spacing w:val="-3"/>
          <w:sz w:val="21"/>
          <w:szCs w:val="21"/>
        </w:rPr>
        <w:t>30%；</w:t>
      </w:r>
    </w:p>
    <w:p>
      <w:pPr>
        <w:pStyle w:val="11"/>
        <w:spacing w:before="78" w:line="219" w:lineRule="auto"/>
        <w:ind w:left="439" w:leftChars="-25" w:hanging="492" w:hangingChars="237"/>
        <w:rPr>
          <w:sz w:val="21"/>
          <w:szCs w:val="21"/>
        </w:rPr>
      </w:pPr>
      <w:r>
        <w:rPr>
          <w:spacing w:val="-1"/>
          <w:sz w:val="21"/>
          <w:szCs w:val="21"/>
        </w:rPr>
        <w:t>（3）发包人取得施工图纸审图合格书，发包人向设计人支付合同暂定价的30%；</w:t>
      </w:r>
    </w:p>
    <w:p>
      <w:pPr>
        <w:pStyle w:val="11"/>
        <w:keepNext w:val="0"/>
        <w:keepLines w:val="0"/>
        <w:pageBreakBefore w:val="0"/>
        <w:widowControl/>
        <w:kinsoku/>
        <w:wordWrap/>
        <w:overflowPunct/>
        <w:topLinePunct w:val="0"/>
        <w:autoSpaceDE/>
        <w:autoSpaceDN/>
        <w:bidi w:val="0"/>
        <w:adjustRightInd/>
        <w:snapToGrid/>
        <w:spacing w:before="79" w:line="240" w:lineRule="auto"/>
        <w:ind w:left="0" w:right="79" w:firstLine="0"/>
        <w:textAlignment w:val="auto"/>
        <w:rPr>
          <w:sz w:val="21"/>
          <w:szCs w:val="21"/>
        </w:rPr>
      </w:pPr>
      <w:r>
        <w:rPr>
          <w:spacing w:val="-2"/>
          <w:sz w:val="21"/>
          <w:szCs w:val="21"/>
        </w:rPr>
        <w:t>（4）工程竣工验收合格后，结算价经发包人或发包人委托第三方具有相应资质的机构审定</w:t>
      </w:r>
      <w:r>
        <w:rPr>
          <w:spacing w:val="10"/>
          <w:sz w:val="21"/>
          <w:szCs w:val="21"/>
        </w:rPr>
        <w:t xml:space="preserve"> </w:t>
      </w:r>
      <w:r>
        <w:rPr>
          <w:spacing w:val="-7"/>
          <w:sz w:val="21"/>
          <w:szCs w:val="21"/>
        </w:rPr>
        <w:t>后一次性支付完余款（不含履约保证金）。</w:t>
      </w:r>
    </w:p>
    <w:p>
      <w:pPr>
        <w:pStyle w:val="11"/>
        <w:keepNext w:val="0"/>
        <w:keepLines w:val="0"/>
        <w:pageBreakBefore w:val="0"/>
        <w:widowControl/>
        <w:kinsoku/>
        <w:wordWrap/>
        <w:overflowPunct/>
        <w:topLinePunct w:val="0"/>
        <w:autoSpaceDE/>
        <w:autoSpaceDN/>
        <w:bidi w:val="0"/>
        <w:adjustRightInd/>
        <w:snapToGrid/>
        <w:spacing w:before="0" w:line="257" w:lineRule="auto"/>
        <w:ind w:left="0" w:right="0" w:firstLine="0"/>
        <w:textAlignment w:val="auto"/>
        <w:rPr>
          <w:sz w:val="21"/>
          <w:szCs w:val="21"/>
        </w:rPr>
      </w:pPr>
      <w:r>
        <w:rPr>
          <w:spacing w:val="-1"/>
          <w:sz w:val="21"/>
          <w:szCs w:val="21"/>
        </w:rPr>
        <w:t>（5）设计人派驻的驻场代表发生的费用由设计人承担。发包人要求设计人进行外出考</w:t>
      </w:r>
      <w:r>
        <w:rPr>
          <w:spacing w:val="-2"/>
          <w:sz w:val="21"/>
          <w:szCs w:val="21"/>
        </w:rPr>
        <w:t>察、</w:t>
      </w:r>
      <w:r>
        <w:rPr>
          <w:sz w:val="21"/>
          <w:szCs w:val="21"/>
        </w:rPr>
        <w:t xml:space="preserve"> 专项咨询或专家评审、设计变更评审、设计人员派驻施工现场，相应费用均含在设计费之</w:t>
      </w:r>
      <w:r>
        <w:rPr>
          <w:spacing w:val="-1"/>
          <w:sz w:val="21"/>
          <w:szCs w:val="21"/>
        </w:rPr>
        <w:t>中，</w:t>
      </w:r>
      <w:r>
        <w:rPr>
          <w:spacing w:val="-3"/>
          <w:sz w:val="21"/>
          <w:szCs w:val="21"/>
        </w:rPr>
        <w:t>发包人不另行支付。</w:t>
      </w:r>
    </w:p>
    <w:p>
      <w:pPr>
        <w:pStyle w:val="11"/>
        <w:keepNext w:val="0"/>
        <w:keepLines w:val="0"/>
        <w:pageBreakBefore w:val="0"/>
        <w:widowControl/>
        <w:kinsoku/>
        <w:wordWrap/>
        <w:overflowPunct/>
        <w:topLinePunct w:val="0"/>
        <w:autoSpaceDE/>
        <w:autoSpaceDN/>
        <w:bidi w:val="0"/>
        <w:adjustRightInd/>
        <w:snapToGrid/>
        <w:spacing w:before="80" w:line="240" w:lineRule="auto"/>
        <w:ind w:left="0" w:leftChars="0" w:right="11" w:firstLine="0" w:firstLineChars="0"/>
        <w:jc w:val="both"/>
        <w:textAlignment w:val="auto"/>
        <w:rPr>
          <w:rFonts w:hint="eastAsia" w:eastAsia="宋体"/>
          <w:sz w:val="21"/>
          <w:szCs w:val="21"/>
          <w:lang w:eastAsia="zh-CN"/>
        </w:rPr>
      </w:pPr>
      <w:r>
        <w:rPr>
          <w:spacing w:val="-1"/>
          <w:sz w:val="21"/>
          <w:szCs w:val="21"/>
        </w:rPr>
        <w:t>10.4.2</w:t>
      </w:r>
      <w:r>
        <w:rPr>
          <w:spacing w:val="-31"/>
          <w:sz w:val="21"/>
          <w:szCs w:val="21"/>
        </w:rPr>
        <w:t xml:space="preserve"> </w:t>
      </w:r>
      <w:r>
        <w:rPr>
          <w:spacing w:val="-1"/>
          <w:sz w:val="21"/>
          <w:szCs w:val="21"/>
        </w:rPr>
        <w:t>双方委托银行代付代收有关费用，支付款项同时提供等额合法有效增值税</w:t>
      </w:r>
      <w:r>
        <w:rPr>
          <w:rFonts w:hint="eastAsia"/>
          <w:spacing w:val="-1"/>
          <w:sz w:val="21"/>
          <w:szCs w:val="21"/>
          <w:lang w:val="en-US" w:eastAsia="zh-CN"/>
        </w:rPr>
        <w:t>专用</w:t>
      </w:r>
      <w:r>
        <w:rPr>
          <w:spacing w:val="-1"/>
          <w:sz w:val="21"/>
          <w:szCs w:val="21"/>
        </w:rPr>
        <w:t>发票</w:t>
      </w:r>
      <w:r>
        <w:rPr>
          <w:sz w:val="21"/>
          <w:szCs w:val="21"/>
        </w:rPr>
        <w:t xml:space="preserve"> 至发包人，否则发包人有权延迟付款直至设计人提供发票为止，并不需要承担相应的损失</w:t>
      </w:r>
      <w:r>
        <w:rPr>
          <w:spacing w:val="-1"/>
          <w:sz w:val="21"/>
          <w:szCs w:val="21"/>
        </w:rPr>
        <w:t>及法</w:t>
      </w:r>
      <w:r>
        <w:rPr>
          <w:spacing w:val="-2"/>
          <w:sz w:val="21"/>
          <w:szCs w:val="21"/>
        </w:rPr>
        <w:t>律责任</w:t>
      </w:r>
      <w:r>
        <w:rPr>
          <w:rFonts w:hint="eastAsia"/>
          <w:spacing w:val="-2"/>
          <w:sz w:val="21"/>
          <w:szCs w:val="21"/>
          <w:lang w:eastAsia="zh-CN"/>
        </w:rPr>
        <w:t>。</w:t>
      </w:r>
    </w:p>
    <w:p>
      <w:pPr>
        <w:pStyle w:val="11"/>
        <w:spacing w:before="29" w:line="221" w:lineRule="auto"/>
        <w:ind w:left="458"/>
        <w:outlineLvl w:val="1"/>
        <w:rPr>
          <w:b/>
          <w:bCs/>
          <w:spacing w:val="-3"/>
          <w:sz w:val="21"/>
          <w:szCs w:val="21"/>
        </w:rPr>
      </w:pPr>
      <w:r>
        <w:rPr>
          <w:b/>
          <w:bCs/>
          <w:spacing w:val="-3"/>
          <w:sz w:val="21"/>
          <w:szCs w:val="21"/>
        </w:rPr>
        <w:t>11.</w:t>
      </w:r>
      <w:r>
        <w:rPr>
          <w:spacing w:val="-3"/>
          <w:sz w:val="21"/>
          <w:szCs w:val="21"/>
        </w:rPr>
        <w:t xml:space="preserve"> </w:t>
      </w:r>
      <w:r>
        <w:rPr>
          <w:b/>
          <w:bCs/>
          <w:spacing w:val="-3"/>
          <w:sz w:val="21"/>
          <w:szCs w:val="21"/>
        </w:rPr>
        <w:t>工程设计变更与索赔</w:t>
      </w:r>
    </w:p>
    <w:p>
      <w:pPr>
        <w:pStyle w:val="11"/>
        <w:keepNext w:val="0"/>
        <w:keepLines w:val="0"/>
        <w:pageBreakBefore w:val="0"/>
        <w:widowControl/>
        <w:kinsoku/>
        <w:wordWrap/>
        <w:overflowPunct/>
        <w:topLinePunct w:val="0"/>
        <w:autoSpaceDE/>
        <w:autoSpaceDN/>
        <w:bidi w:val="0"/>
        <w:adjustRightInd/>
        <w:snapToGrid/>
        <w:spacing w:before="29" w:line="221" w:lineRule="auto"/>
        <w:ind w:left="-249" w:right="-28" w:firstLine="0"/>
        <w:textAlignment w:val="auto"/>
        <w:outlineLvl w:val="1"/>
        <w:rPr>
          <w:sz w:val="21"/>
          <w:szCs w:val="21"/>
        </w:rPr>
      </w:pPr>
      <w:r>
        <w:rPr>
          <w:spacing w:val="1"/>
          <w:sz w:val="21"/>
          <w:szCs w:val="21"/>
        </w:rPr>
        <w:t>11.5 设计人应于认为有理由提出增加合同价款或延长设计周期的要求事项发生后</w:t>
      </w:r>
      <w:r>
        <w:rPr>
          <w:spacing w:val="1"/>
          <w:sz w:val="21"/>
          <w:szCs w:val="21"/>
          <w:u w:val="single" w:color="auto"/>
        </w:rPr>
        <w:t xml:space="preserve"> 7</w:t>
      </w:r>
      <w:r>
        <w:rPr>
          <w:sz w:val="21"/>
          <w:szCs w:val="21"/>
          <w:u w:val="single" w:color="auto"/>
        </w:rPr>
        <w:t xml:space="preserve"> </w:t>
      </w:r>
      <w:r>
        <w:rPr>
          <w:sz w:val="21"/>
          <w:szCs w:val="21"/>
        </w:rPr>
        <w:t xml:space="preserve">天内 </w:t>
      </w:r>
      <w:r>
        <w:rPr>
          <w:spacing w:val="-2"/>
          <w:sz w:val="21"/>
          <w:szCs w:val="21"/>
        </w:rPr>
        <w:t>书面通知发包人。</w:t>
      </w:r>
    </w:p>
    <w:p>
      <w:pPr>
        <w:pStyle w:val="11"/>
        <w:keepNext w:val="0"/>
        <w:keepLines w:val="0"/>
        <w:pageBreakBefore w:val="0"/>
        <w:widowControl/>
        <w:kinsoku/>
        <w:wordWrap/>
        <w:overflowPunct/>
        <w:topLinePunct w:val="0"/>
        <w:autoSpaceDE/>
        <w:autoSpaceDN/>
        <w:bidi w:val="0"/>
        <w:adjustRightInd/>
        <w:snapToGrid/>
        <w:spacing w:before="0" w:line="276" w:lineRule="auto"/>
        <w:ind w:left="-199" w:leftChars="-95" w:right="0" w:firstLine="0" w:firstLineChars="0"/>
        <w:jc w:val="left"/>
        <w:textAlignment w:val="auto"/>
        <w:rPr>
          <w:spacing w:val="-1"/>
          <w:sz w:val="21"/>
          <w:szCs w:val="21"/>
        </w:rPr>
      </w:pPr>
      <w:r>
        <w:rPr>
          <w:spacing w:val="-1"/>
          <w:sz w:val="21"/>
          <w:szCs w:val="21"/>
        </w:rPr>
        <w:t>设计人应在该事项发生后10天内向发包人提供证明设计人要求的书面声明。 发包人应在接到设计人书面声明后的 7 天内，予以书面答复。</w:t>
      </w:r>
    </w:p>
    <w:p>
      <w:pPr>
        <w:pStyle w:val="11"/>
        <w:spacing w:before="33" w:line="221" w:lineRule="auto"/>
        <w:ind w:left="458"/>
        <w:outlineLvl w:val="1"/>
        <w:rPr>
          <w:sz w:val="21"/>
          <w:szCs w:val="21"/>
        </w:rPr>
      </w:pPr>
      <w:r>
        <w:rPr>
          <w:b/>
          <w:bCs/>
          <w:spacing w:val="-4"/>
          <w:sz w:val="21"/>
          <w:szCs w:val="21"/>
        </w:rPr>
        <w:t>12.</w:t>
      </w:r>
      <w:r>
        <w:rPr>
          <w:spacing w:val="-4"/>
          <w:sz w:val="21"/>
          <w:szCs w:val="21"/>
        </w:rPr>
        <w:t xml:space="preserve"> </w:t>
      </w:r>
      <w:r>
        <w:rPr>
          <w:b/>
          <w:bCs/>
          <w:spacing w:val="-4"/>
          <w:sz w:val="21"/>
          <w:szCs w:val="21"/>
        </w:rPr>
        <w:t>专业责任与保险</w:t>
      </w:r>
    </w:p>
    <w:p>
      <w:pPr>
        <w:pStyle w:val="11"/>
        <w:spacing w:before="78" w:line="221" w:lineRule="auto"/>
        <w:ind w:left="455"/>
        <w:rPr>
          <w:sz w:val="21"/>
          <w:szCs w:val="21"/>
        </w:rPr>
      </w:pPr>
      <w:r>
        <w:rPr>
          <w:spacing w:val="-1"/>
          <w:sz w:val="21"/>
          <w:szCs w:val="21"/>
        </w:rPr>
        <w:t>12.2 设计人</w:t>
      </w:r>
      <w:r>
        <w:rPr>
          <w:spacing w:val="-1"/>
          <w:sz w:val="21"/>
          <w:szCs w:val="21"/>
          <w:u w:val="single" w:color="auto"/>
        </w:rPr>
        <w:t xml:space="preserve"> </w:t>
      </w:r>
      <w:r>
        <w:rPr>
          <w:spacing w:val="-1"/>
          <w:sz w:val="21"/>
          <w:szCs w:val="21"/>
          <w:u w:val="single"/>
        </w:rPr>
        <w:t>不需（需/不需）</w:t>
      </w:r>
      <w:r>
        <w:rPr>
          <w:spacing w:val="-1"/>
          <w:sz w:val="21"/>
          <w:szCs w:val="21"/>
        </w:rPr>
        <w:t>有发包人认可的工程设计责任</w:t>
      </w:r>
      <w:r>
        <w:rPr>
          <w:spacing w:val="-2"/>
          <w:sz w:val="21"/>
          <w:szCs w:val="21"/>
        </w:rPr>
        <w:t>保险。</w:t>
      </w:r>
    </w:p>
    <w:p>
      <w:pPr>
        <w:pStyle w:val="11"/>
        <w:spacing w:before="80" w:line="221" w:lineRule="auto"/>
        <w:ind w:left="458"/>
        <w:outlineLvl w:val="1"/>
        <w:rPr>
          <w:b/>
          <w:bCs/>
          <w:spacing w:val="-7"/>
          <w:sz w:val="21"/>
          <w:szCs w:val="21"/>
        </w:rPr>
      </w:pPr>
      <w:r>
        <w:rPr>
          <w:b/>
          <w:bCs/>
          <w:spacing w:val="-7"/>
          <w:sz w:val="21"/>
          <w:szCs w:val="21"/>
        </w:rPr>
        <w:t>13.</w:t>
      </w:r>
      <w:r>
        <w:rPr>
          <w:spacing w:val="17"/>
          <w:sz w:val="21"/>
          <w:szCs w:val="21"/>
        </w:rPr>
        <w:t xml:space="preserve"> </w:t>
      </w:r>
      <w:r>
        <w:rPr>
          <w:b/>
          <w:bCs/>
          <w:spacing w:val="-7"/>
          <w:sz w:val="21"/>
          <w:szCs w:val="21"/>
        </w:rPr>
        <w:t>知识产权</w:t>
      </w:r>
    </w:p>
    <w:p>
      <w:pPr>
        <w:pStyle w:val="11"/>
        <w:spacing w:before="80" w:line="221" w:lineRule="auto"/>
        <w:ind w:left="458"/>
        <w:outlineLvl w:val="1"/>
        <w:rPr>
          <w:sz w:val="21"/>
          <w:szCs w:val="21"/>
        </w:rPr>
      </w:pPr>
      <w:r>
        <w:rPr>
          <w:spacing w:val="-1"/>
          <w:sz w:val="21"/>
          <w:szCs w:val="21"/>
        </w:rPr>
        <w:t>13.1 关于发包人提供给设计人的图纸</w:t>
      </w:r>
      <w:r>
        <w:rPr>
          <w:spacing w:val="-2"/>
          <w:sz w:val="21"/>
          <w:szCs w:val="21"/>
        </w:rPr>
        <w:t>、发包人为实施工程自行编制或委托编制的技术规格</w:t>
      </w:r>
      <w:r>
        <w:rPr>
          <w:sz w:val="21"/>
          <w:szCs w:val="21"/>
        </w:rPr>
        <w:t xml:space="preserve"> </w:t>
      </w:r>
      <w:r>
        <w:rPr>
          <w:spacing w:val="-1"/>
          <w:sz w:val="21"/>
          <w:szCs w:val="21"/>
        </w:rPr>
        <w:t>以及反映发包人关于合同要求或其他类似性质的文件的著作权的归属：</w:t>
      </w:r>
      <w:r>
        <w:rPr>
          <w:spacing w:val="-1"/>
          <w:sz w:val="21"/>
          <w:szCs w:val="21"/>
          <w:u w:val="single" w:color="auto"/>
        </w:rPr>
        <w:t xml:space="preserve">  发包人  </w:t>
      </w:r>
      <w:r>
        <w:rPr>
          <w:spacing w:val="-1"/>
          <w:sz w:val="21"/>
          <w:szCs w:val="21"/>
        </w:rPr>
        <w:t>。</w:t>
      </w:r>
    </w:p>
    <w:p>
      <w:pPr>
        <w:pStyle w:val="11"/>
        <w:spacing w:before="28" w:line="281" w:lineRule="auto"/>
        <w:ind w:left="21" w:right="7" w:firstLine="422"/>
        <w:rPr>
          <w:sz w:val="21"/>
          <w:szCs w:val="21"/>
        </w:rPr>
      </w:pPr>
      <w:r>
        <w:rPr>
          <w:spacing w:val="1"/>
          <w:sz w:val="21"/>
          <w:szCs w:val="21"/>
        </w:rPr>
        <w:t>关于发包人提供的上述文件的使用限制的要求：</w:t>
      </w:r>
      <w:r>
        <w:rPr>
          <w:spacing w:val="1"/>
          <w:sz w:val="21"/>
          <w:szCs w:val="21"/>
          <w:u w:val="single" w:color="auto"/>
        </w:rPr>
        <w:t>设计人可</w:t>
      </w:r>
      <w:r>
        <w:rPr>
          <w:sz w:val="21"/>
          <w:szCs w:val="21"/>
          <w:u w:val="single" w:color="auto"/>
        </w:rPr>
        <w:t>以为实现合同目的而复制、使用</w:t>
      </w:r>
      <w:r>
        <w:rPr>
          <w:sz w:val="21"/>
          <w:szCs w:val="21"/>
        </w:rPr>
        <w:t xml:space="preserve"> </w:t>
      </w:r>
      <w:r>
        <w:rPr>
          <w:spacing w:val="1"/>
          <w:sz w:val="21"/>
          <w:szCs w:val="21"/>
          <w:u w:val="single" w:color="auto"/>
        </w:rPr>
        <w:t>此类文件，但不能用于与合同无关的其他事项。未经发包人书面同意，设计人不得为了合同以</w:t>
      </w:r>
      <w:r>
        <w:rPr>
          <w:spacing w:val="8"/>
          <w:sz w:val="21"/>
          <w:szCs w:val="21"/>
        </w:rPr>
        <w:t xml:space="preserve"> </w:t>
      </w:r>
      <w:r>
        <w:rPr>
          <w:sz w:val="21"/>
          <w:szCs w:val="21"/>
        </w:rPr>
        <w:t>外的目的而复制、使用上述文件或将之提供给任何第三</w:t>
      </w:r>
      <w:r>
        <w:rPr>
          <w:spacing w:val="-1"/>
          <w:sz w:val="21"/>
          <w:szCs w:val="21"/>
        </w:rPr>
        <w:t>方发包人。</w:t>
      </w:r>
    </w:p>
    <w:p>
      <w:pPr>
        <w:pStyle w:val="11"/>
        <w:spacing w:before="32" w:line="221" w:lineRule="auto"/>
        <w:ind w:left="455"/>
        <w:rPr>
          <w:sz w:val="21"/>
          <w:szCs w:val="21"/>
        </w:rPr>
      </w:pPr>
      <w:r>
        <w:rPr>
          <w:spacing w:val="-1"/>
          <w:sz w:val="21"/>
          <w:szCs w:val="21"/>
        </w:rPr>
        <w:t>13.2 关于设计人为实施工程所编制文件的著作权的归属：</w:t>
      </w:r>
      <w:r>
        <w:rPr>
          <w:spacing w:val="-1"/>
          <w:sz w:val="21"/>
          <w:szCs w:val="21"/>
          <w:u w:val="single" w:color="auto"/>
        </w:rPr>
        <w:t xml:space="preserve">  发包人 </w:t>
      </w:r>
      <w:r>
        <w:rPr>
          <w:spacing w:val="-1"/>
          <w:sz w:val="21"/>
          <w:szCs w:val="21"/>
        </w:rPr>
        <w:t>。</w:t>
      </w:r>
    </w:p>
    <w:p>
      <w:pPr>
        <w:pStyle w:val="11"/>
        <w:spacing w:before="78" w:line="277" w:lineRule="auto"/>
        <w:ind w:left="41" w:right="59" w:firstLine="402"/>
        <w:rPr>
          <w:spacing w:val="-1"/>
          <w:sz w:val="21"/>
          <w:szCs w:val="21"/>
        </w:rPr>
      </w:pPr>
      <w:r>
        <w:rPr>
          <w:sz w:val="21"/>
          <w:szCs w:val="21"/>
        </w:rPr>
        <w:t>关于设计人提供的上述文件的使用限制的要求：</w:t>
      </w:r>
      <w:r>
        <w:rPr>
          <w:sz w:val="21"/>
          <w:szCs w:val="21"/>
          <w:u w:val="single" w:color="auto"/>
        </w:rPr>
        <w:t>未经发包人书面同意，设计</w:t>
      </w:r>
      <w:r>
        <w:rPr>
          <w:spacing w:val="-1"/>
          <w:sz w:val="21"/>
          <w:szCs w:val="21"/>
          <w:u w:val="single" w:color="auto"/>
        </w:rPr>
        <w:t>人不得为了合</w:t>
      </w:r>
      <w:r>
        <w:rPr>
          <w:sz w:val="21"/>
          <w:szCs w:val="21"/>
        </w:rPr>
        <w:t xml:space="preserve"> </w:t>
      </w:r>
      <w:r>
        <w:rPr>
          <w:spacing w:val="-1"/>
          <w:sz w:val="21"/>
          <w:szCs w:val="21"/>
        </w:rPr>
        <w:t>同以外的目的而复制、使用上述文件或将之提供给任何第三方。</w:t>
      </w:r>
    </w:p>
    <w:p>
      <w:pPr>
        <w:pStyle w:val="11"/>
        <w:spacing w:before="78" w:line="277" w:lineRule="auto"/>
        <w:ind w:left="420" w:leftChars="0" w:right="59" w:hanging="709" w:firstLineChars="0"/>
        <w:rPr>
          <w:sz w:val="21"/>
          <w:szCs w:val="21"/>
        </w:rPr>
      </w:pPr>
      <w:r>
        <w:rPr>
          <w:spacing w:val="1"/>
          <w:sz w:val="21"/>
          <w:szCs w:val="21"/>
        </w:rPr>
        <w:t>13.5 设计人在设计过程中所采用的专利、专有技术的使用费的承担方式：</w:t>
      </w:r>
      <w:r>
        <w:rPr>
          <w:spacing w:val="1"/>
          <w:sz w:val="21"/>
          <w:szCs w:val="21"/>
          <w:u w:val="single" w:color="auto"/>
        </w:rPr>
        <w:t xml:space="preserve"> 设</w:t>
      </w:r>
      <w:r>
        <w:rPr>
          <w:sz w:val="21"/>
          <w:szCs w:val="21"/>
          <w:u w:val="single" w:color="auto"/>
        </w:rPr>
        <w:t>计人自行承</w:t>
      </w:r>
      <w:r>
        <w:rPr>
          <w:spacing w:val="-3"/>
          <w:sz w:val="21"/>
          <w:szCs w:val="21"/>
          <w:u w:val="single" w:color="auto"/>
        </w:rPr>
        <w:t>担</w:t>
      </w:r>
      <w:r>
        <w:rPr>
          <w:spacing w:val="-3"/>
          <w:sz w:val="21"/>
          <w:szCs w:val="21"/>
        </w:rPr>
        <w:t>。</w:t>
      </w:r>
    </w:p>
    <w:p>
      <w:pPr>
        <w:pStyle w:val="11"/>
        <w:spacing w:before="76" w:line="256" w:lineRule="auto"/>
        <w:ind w:left="21" w:leftChars="0" w:hanging="221" w:firstLineChars="0"/>
        <w:rPr>
          <w:sz w:val="21"/>
          <w:szCs w:val="21"/>
        </w:rPr>
      </w:pPr>
      <w:r>
        <w:rPr>
          <w:spacing w:val="-1"/>
          <w:sz w:val="21"/>
          <w:szCs w:val="21"/>
        </w:rPr>
        <w:t>13.6</w:t>
      </w:r>
      <w:r>
        <w:rPr>
          <w:spacing w:val="-22"/>
          <w:sz w:val="21"/>
          <w:szCs w:val="21"/>
        </w:rPr>
        <w:t xml:space="preserve"> </w:t>
      </w:r>
      <w:r>
        <w:rPr>
          <w:spacing w:val="-1"/>
          <w:sz w:val="21"/>
          <w:szCs w:val="21"/>
        </w:rPr>
        <w:t>设计人在设计过程中因侵犯他人的专利权或其他知识产权所引起的责任，由设计人承</w:t>
      </w:r>
      <w:r>
        <w:rPr>
          <w:sz w:val="21"/>
          <w:szCs w:val="21"/>
        </w:rPr>
        <w:t xml:space="preserve"> </w:t>
      </w:r>
      <w:r>
        <w:rPr>
          <w:spacing w:val="-1"/>
          <w:sz w:val="21"/>
          <w:szCs w:val="21"/>
        </w:rPr>
        <w:t>担，并承担因侵权行为给发包人造成的损失。</w:t>
      </w:r>
    </w:p>
    <w:p>
      <w:pPr>
        <w:pStyle w:val="11"/>
        <w:spacing w:before="78" w:line="221" w:lineRule="auto"/>
        <w:ind w:left="458"/>
        <w:outlineLvl w:val="1"/>
        <w:rPr>
          <w:sz w:val="21"/>
          <w:szCs w:val="21"/>
        </w:rPr>
      </w:pPr>
      <w:r>
        <w:rPr>
          <w:b/>
          <w:bCs/>
          <w:spacing w:val="-4"/>
          <w:sz w:val="21"/>
          <w:szCs w:val="21"/>
        </w:rPr>
        <w:t>14.</w:t>
      </w:r>
      <w:r>
        <w:rPr>
          <w:spacing w:val="-4"/>
          <w:sz w:val="21"/>
          <w:szCs w:val="21"/>
        </w:rPr>
        <w:t xml:space="preserve"> </w:t>
      </w:r>
      <w:r>
        <w:rPr>
          <w:b/>
          <w:bCs/>
          <w:spacing w:val="-4"/>
          <w:sz w:val="21"/>
          <w:szCs w:val="21"/>
        </w:rPr>
        <w:t>违约责任</w:t>
      </w:r>
    </w:p>
    <w:p>
      <w:pPr>
        <w:pStyle w:val="11"/>
        <w:spacing w:before="80" w:line="221" w:lineRule="auto"/>
        <w:ind w:left="455"/>
        <w:outlineLvl w:val="2"/>
        <w:rPr>
          <w:sz w:val="21"/>
          <w:szCs w:val="21"/>
        </w:rPr>
      </w:pPr>
      <w:r>
        <w:rPr>
          <w:spacing w:val="-2"/>
          <w:sz w:val="21"/>
          <w:szCs w:val="21"/>
        </w:rPr>
        <w:t>14.1 发包人违约责任</w:t>
      </w:r>
    </w:p>
    <w:p>
      <w:pPr>
        <w:pStyle w:val="11"/>
        <w:spacing w:before="77" w:line="221" w:lineRule="auto"/>
        <w:ind w:left="455"/>
        <w:rPr>
          <w:sz w:val="21"/>
          <w:szCs w:val="21"/>
        </w:rPr>
      </w:pPr>
      <w:r>
        <w:rPr>
          <w:spacing w:val="-1"/>
          <w:sz w:val="21"/>
          <w:szCs w:val="21"/>
        </w:rPr>
        <w:t>14.1.1 发包人支付设计人的违约金：</w:t>
      </w:r>
      <w:r>
        <w:rPr>
          <w:spacing w:val="-1"/>
          <w:sz w:val="21"/>
          <w:szCs w:val="21"/>
          <w:u w:val="single" w:color="auto"/>
        </w:rPr>
        <w:t xml:space="preserve">   无   </w:t>
      </w:r>
      <w:r>
        <w:rPr>
          <w:spacing w:val="-1"/>
          <w:sz w:val="21"/>
          <w:szCs w:val="21"/>
        </w:rPr>
        <w:t>。</w:t>
      </w:r>
    </w:p>
    <w:p>
      <w:pPr>
        <w:pStyle w:val="11"/>
        <w:spacing w:before="80" w:line="221" w:lineRule="auto"/>
        <w:ind w:left="455"/>
        <w:rPr>
          <w:sz w:val="21"/>
          <w:szCs w:val="21"/>
        </w:rPr>
      </w:pPr>
      <w:r>
        <w:rPr>
          <w:spacing w:val="-1"/>
          <w:sz w:val="21"/>
          <w:szCs w:val="21"/>
        </w:rPr>
        <w:t>14.1.2 发包人逾期支付设计费的违约金：</w:t>
      </w:r>
      <w:r>
        <w:rPr>
          <w:spacing w:val="-1"/>
          <w:sz w:val="21"/>
          <w:szCs w:val="21"/>
          <w:u w:val="single" w:color="auto"/>
        </w:rPr>
        <w:t xml:space="preserve">  无      </w:t>
      </w:r>
      <w:r>
        <w:rPr>
          <w:spacing w:val="-1"/>
          <w:sz w:val="21"/>
          <w:szCs w:val="21"/>
        </w:rPr>
        <w:t>。</w:t>
      </w:r>
    </w:p>
    <w:p>
      <w:pPr>
        <w:pStyle w:val="11"/>
        <w:spacing w:before="77" w:line="221" w:lineRule="auto"/>
        <w:ind w:left="455"/>
        <w:outlineLvl w:val="2"/>
        <w:rPr>
          <w:sz w:val="21"/>
          <w:szCs w:val="21"/>
        </w:rPr>
      </w:pPr>
      <w:r>
        <w:rPr>
          <w:spacing w:val="-2"/>
          <w:sz w:val="21"/>
          <w:szCs w:val="21"/>
        </w:rPr>
        <w:t>14.2 设计人违约责任</w:t>
      </w:r>
    </w:p>
    <w:p>
      <w:pPr>
        <w:pStyle w:val="11"/>
        <w:spacing w:before="80" w:line="220" w:lineRule="auto"/>
        <w:ind w:left="455"/>
        <w:rPr>
          <w:spacing w:val="-1"/>
          <w:sz w:val="21"/>
          <w:szCs w:val="21"/>
        </w:rPr>
      </w:pPr>
      <w:r>
        <w:rPr>
          <w:spacing w:val="-1"/>
          <w:sz w:val="21"/>
          <w:szCs w:val="21"/>
        </w:rPr>
        <w:t>14.2.1 设计人支付发包人的违约金：</w:t>
      </w:r>
      <w:r>
        <w:rPr>
          <w:spacing w:val="-1"/>
          <w:sz w:val="21"/>
          <w:szCs w:val="21"/>
          <w:u w:val="single" w:color="auto"/>
        </w:rPr>
        <w:t xml:space="preserve">   按本专用合同条款的</w:t>
      </w:r>
      <w:r>
        <w:rPr>
          <w:spacing w:val="-26"/>
          <w:sz w:val="21"/>
          <w:szCs w:val="21"/>
          <w:u w:val="single" w:color="auto"/>
        </w:rPr>
        <w:t xml:space="preserve"> </w:t>
      </w:r>
      <w:r>
        <w:rPr>
          <w:spacing w:val="-1"/>
          <w:sz w:val="21"/>
          <w:szCs w:val="21"/>
          <w:u w:val="single" w:color="auto"/>
        </w:rPr>
        <w:t xml:space="preserve">14.2.2             </w:t>
      </w:r>
      <w:r>
        <w:rPr>
          <w:spacing w:val="-1"/>
          <w:sz w:val="21"/>
          <w:szCs w:val="21"/>
        </w:rPr>
        <w:t>。</w:t>
      </w:r>
    </w:p>
    <w:p>
      <w:pPr>
        <w:pStyle w:val="11"/>
        <w:spacing w:before="80" w:line="220" w:lineRule="auto"/>
        <w:ind w:left="-200" w:leftChars="0" w:hanging="69" w:firstLineChars="0"/>
        <w:rPr>
          <w:spacing w:val="-10"/>
          <w:sz w:val="21"/>
          <w:szCs w:val="21"/>
          <w:u w:val="single" w:color="auto"/>
        </w:rPr>
      </w:pPr>
      <w:r>
        <w:rPr>
          <w:spacing w:val="-1"/>
          <w:sz w:val="21"/>
          <w:szCs w:val="21"/>
        </w:rPr>
        <w:t>14.2.2 设计人逾期交付工程设计文件的违约金：</w:t>
      </w:r>
      <w:r>
        <w:rPr>
          <w:spacing w:val="-39"/>
          <w:sz w:val="21"/>
          <w:szCs w:val="21"/>
        </w:rPr>
        <w:t xml:space="preserve"> </w:t>
      </w:r>
      <w:r>
        <w:rPr>
          <w:spacing w:val="-1"/>
          <w:sz w:val="21"/>
          <w:szCs w:val="21"/>
          <w:u w:val="single" w:color="auto"/>
        </w:rPr>
        <w:t>合同</w:t>
      </w:r>
      <w:r>
        <w:rPr>
          <w:spacing w:val="-2"/>
          <w:sz w:val="21"/>
          <w:szCs w:val="21"/>
          <w:u w:val="single" w:color="auto"/>
        </w:rPr>
        <w:t>生效后，设计人因自身原因要求终</w:t>
      </w:r>
      <w:r>
        <w:rPr>
          <w:sz w:val="21"/>
          <w:szCs w:val="21"/>
        </w:rPr>
        <w:t xml:space="preserve"> </w:t>
      </w:r>
      <w:r>
        <w:rPr>
          <w:spacing w:val="-2"/>
          <w:sz w:val="21"/>
          <w:szCs w:val="21"/>
          <w:u w:val="single" w:color="auto"/>
        </w:rPr>
        <w:t>止或解除合同的，视为违约。设计人除双倍返还发包人已支付的设计费外发包人有权没收设计</w:t>
      </w:r>
      <w:r>
        <w:rPr>
          <w:spacing w:val="9"/>
          <w:sz w:val="21"/>
          <w:szCs w:val="21"/>
        </w:rPr>
        <w:t xml:space="preserve"> </w:t>
      </w:r>
      <w:r>
        <w:rPr>
          <w:spacing w:val="-10"/>
          <w:sz w:val="21"/>
          <w:szCs w:val="21"/>
          <w:u w:val="single" w:color="auto"/>
        </w:rPr>
        <w:t>人的履约保证金及低价风险保证金（如有</w:t>
      </w:r>
      <w:r>
        <w:rPr>
          <w:spacing w:val="-54"/>
          <w:sz w:val="21"/>
          <w:szCs w:val="21"/>
          <w:u w:val="single" w:color="auto"/>
        </w:rPr>
        <w:t>），</w:t>
      </w:r>
      <w:r>
        <w:rPr>
          <w:spacing w:val="-10"/>
          <w:sz w:val="21"/>
          <w:szCs w:val="21"/>
          <w:u w:val="single" w:color="auto"/>
        </w:rPr>
        <w:t>设计人承担违约给发包人造成的一切损失及责任。</w:t>
      </w:r>
    </w:p>
    <w:p>
      <w:pPr>
        <w:pStyle w:val="11"/>
        <w:spacing w:before="80" w:line="220" w:lineRule="auto"/>
        <w:ind w:left="-200" w:leftChars="0" w:hanging="69" w:firstLineChars="0"/>
        <w:rPr>
          <w:spacing w:val="-10"/>
          <w:sz w:val="21"/>
          <w:szCs w:val="21"/>
          <w:u w:val="single" w:color="auto"/>
        </w:rPr>
      </w:pPr>
      <w:r>
        <w:rPr>
          <w:spacing w:val="-2"/>
          <w:sz w:val="21"/>
          <w:szCs w:val="21"/>
          <w:u w:val="single" w:color="auto"/>
        </w:rPr>
        <w:t>14.2.3由于设计人原因，未按合同约定时间交付设计资料的视为违约。每延误一天</w:t>
      </w:r>
      <w:r>
        <w:rPr>
          <w:spacing w:val="-3"/>
          <w:sz w:val="21"/>
          <w:szCs w:val="21"/>
          <w:u w:val="single" w:color="auto"/>
        </w:rPr>
        <w:t>，应减</w:t>
      </w:r>
      <w:r>
        <w:rPr>
          <w:sz w:val="21"/>
          <w:szCs w:val="21"/>
        </w:rPr>
        <w:t xml:space="preserve"> </w:t>
      </w:r>
      <w:r>
        <w:rPr>
          <w:spacing w:val="-6"/>
          <w:sz w:val="21"/>
          <w:szCs w:val="21"/>
          <w:u w:val="single" w:color="auto"/>
        </w:rPr>
        <w:t>收设计费的万分之五。逾期超过10天的，</w:t>
      </w:r>
      <w:r>
        <w:rPr>
          <w:spacing w:val="-7"/>
          <w:sz w:val="21"/>
          <w:szCs w:val="21"/>
          <w:u w:val="single" w:color="auto"/>
        </w:rPr>
        <w:t>发包人有权解除合同并没收设计人的履约保证金。因设</w:t>
      </w:r>
      <w:r>
        <w:rPr>
          <w:sz w:val="21"/>
          <w:szCs w:val="21"/>
        </w:rPr>
        <w:t xml:space="preserve"> </w:t>
      </w:r>
      <w:r>
        <w:rPr>
          <w:spacing w:val="-1"/>
          <w:sz w:val="21"/>
          <w:szCs w:val="21"/>
          <w:u w:val="single" w:color="auto"/>
        </w:rPr>
        <w:t>计人原因导致发包人解除合同的，设计人应向发包人支</w:t>
      </w:r>
      <w:r>
        <w:rPr>
          <w:spacing w:val="-2"/>
          <w:sz w:val="21"/>
          <w:szCs w:val="21"/>
          <w:u w:val="single" w:color="auto"/>
        </w:rPr>
        <w:t>付合同暂定金额 20%的违约金，如违约</w:t>
      </w:r>
      <w:r>
        <w:rPr>
          <w:sz w:val="21"/>
          <w:szCs w:val="21"/>
        </w:rPr>
        <w:t xml:space="preserve"> </w:t>
      </w:r>
      <w:r>
        <w:rPr>
          <w:spacing w:val="-10"/>
          <w:sz w:val="21"/>
          <w:szCs w:val="21"/>
          <w:u w:val="single" w:color="auto"/>
        </w:rPr>
        <w:t>金不足以弥补发包人损失的，设计人按实际损失额赔偿。</w:t>
      </w:r>
    </w:p>
    <w:p>
      <w:pPr>
        <w:pStyle w:val="11"/>
        <w:spacing w:before="80" w:line="220" w:lineRule="auto"/>
        <w:ind w:left="-200" w:leftChars="0" w:hanging="69" w:firstLineChars="0"/>
        <w:rPr>
          <w:spacing w:val="1"/>
          <w:sz w:val="21"/>
          <w:szCs w:val="21"/>
          <w:u w:val="single" w:color="auto"/>
        </w:rPr>
      </w:pPr>
      <w:r>
        <w:rPr>
          <w:spacing w:val="-4"/>
          <w:sz w:val="21"/>
          <w:szCs w:val="21"/>
          <w:u w:val="single" w:color="auto"/>
        </w:rPr>
        <w:t>14.2.4设计人对工程设计文件出现的遗漏或错误负责修改或补充。由于设计人原</w:t>
      </w:r>
      <w:r>
        <w:rPr>
          <w:spacing w:val="-5"/>
          <w:sz w:val="21"/>
          <w:szCs w:val="21"/>
          <w:u w:val="single" w:color="auto"/>
        </w:rPr>
        <w:t>因产生的</w:t>
      </w:r>
      <w:r>
        <w:rPr>
          <w:sz w:val="21"/>
          <w:szCs w:val="21"/>
        </w:rPr>
        <w:t xml:space="preserve"> </w:t>
      </w:r>
      <w:r>
        <w:rPr>
          <w:spacing w:val="-6"/>
          <w:sz w:val="21"/>
          <w:szCs w:val="21"/>
          <w:u w:val="single" w:color="auto"/>
        </w:rPr>
        <w:t>设计问题造成工程质量事故或其他事故的，视为违约。设计人除负责</w:t>
      </w:r>
      <w:r>
        <w:rPr>
          <w:spacing w:val="-7"/>
          <w:sz w:val="21"/>
          <w:szCs w:val="21"/>
          <w:u w:val="single" w:color="auto"/>
        </w:rPr>
        <w:t>采取补救措施外，应免收受</w:t>
      </w:r>
      <w:r>
        <w:rPr>
          <w:sz w:val="21"/>
          <w:szCs w:val="21"/>
        </w:rPr>
        <w:t xml:space="preserve"> </w:t>
      </w:r>
      <w:r>
        <w:rPr>
          <w:spacing w:val="-6"/>
          <w:sz w:val="21"/>
          <w:szCs w:val="21"/>
          <w:u w:val="single" w:color="auto"/>
        </w:rPr>
        <w:t>损失部分的设计费，损失严重的根据损失的程度和设计人责任</w:t>
      </w:r>
      <w:r>
        <w:rPr>
          <w:spacing w:val="-7"/>
          <w:sz w:val="21"/>
          <w:szCs w:val="21"/>
          <w:u w:val="single" w:color="auto"/>
        </w:rPr>
        <w:t>大小向发包人支付赔偿金，赔偿金</w:t>
      </w:r>
      <w:r>
        <w:rPr>
          <w:spacing w:val="1"/>
          <w:sz w:val="21"/>
          <w:szCs w:val="21"/>
          <w:u w:val="single" w:color="auto"/>
        </w:rPr>
        <w:t>由双方商定为实际损失的100%。</w:t>
      </w:r>
    </w:p>
    <w:p>
      <w:pPr>
        <w:pStyle w:val="11"/>
        <w:spacing w:before="80" w:line="220" w:lineRule="auto"/>
        <w:ind w:left="-200" w:leftChars="0" w:hanging="69" w:firstLineChars="0"/>
        <w:rPr>
          <w:spacing w:val="-6"/>
          <w:sz w:val="21"/>
          <w:szCs w:val="21"/>
          <w:u w:val="single" w:color="auto"/>
        </w:rPr>
      </w:pPr>
      <w:r>
        <w:rPr>
          <w:spacing w:val="-4"/>
          <w:sz w:val="21"/>
          <w:szCs w:val="21"/>
          <w:u w:val="single" w:color="auto"/>
        </w:rPr>
        <w:t>14.2.5 设计人提交的工作成果深度未达到要求</w:t>
      </w:r>
      <w:r>
        <w:rPr>
          <w:spacing w:val="-5"/>
          <w:sz w:val="21"/>
          <w:szCs w:val="21"/>
          <w:u w:val="single" w:color="auto"/>
        </w:rPr>
        <w:t>，视为违约。设计人除无条件在发包人指定</w:t>
      </w:r>
      <w:r>
        <w:rPr>
          <w:sz w:val="21"/>
          <w:szCs w:val="21"/>
        </w:rPr>
        <w:t xml:space="preserve"> </w:t>
      </w:r>
      <w:r>
        <w:rPr>
          <w:spacing w:val="-4"/>
          <w:sz w:val="21"/>
          <w:szCs w:val="21"/>
          <w:u w:val="single" w:color="auto"/>
        </w:rPr>
        <w:t>时间内返工</w:t>
      </w:r>
      <w:r>
        <w:rPr>
          <w:spacing w:val="-6"/>
          <w:sz w:val="21"/>
          <w:szCs w:val="21"/>
          <w:u w:val="single" w:color="auto"/>
        </w:rPr>
        <w:t>完毕并达到深度要求外，费用结算时还应扣减该部分合同暂定价 40%的违约金。以上有关违约处罚，所有违约金全部从设计人履约保证金中扣除。在本合同期内，履约保证金因设计人违约扣除罚金后而不足额的，设计人应在接收到发包人通知后5个工作日内补足 履约保证金。</w:t>
      </w:r>
    </w:p>
    <w:p>
      <w:pPr>
        <w:pStyle w:val="11"/>
        <w:spacing w:before="80" w:line="220" w:lineRule="auto"/>
        <w:ind w:left="-200" w:leftChars="0" w:hanging="69" w:firstLineChars="0"/>
        <w:rPr>
          <w:rFonts w:hint="eastAsia"/>
          <w:spacing w:val="-6"/>
          <w:sz w:val="21"/>
          <w:szCs w:val="21"/>
          <w:u w:val="single" w:color="auto"/>
          <w:lang w:val="en-US" w:eastAsia="zh-CN"/>
        </w:rPr>
      </w:pPr>
      <w:r>
        <w:rPr>
          <w:rFonts w:hint="eastAsia"/>
          <w:spacing w:val="-6"/>
          <w:sz w:val="21"/>
          <w:szCs w:val="21"/>
          <w:u w:val="single" w:color="auto"/>
          <w:lang w:val="en-US" w:eastAsia="zh-CN"/>
        </w:rPr>
        <w:t>14.2.6设计人因违约而应向甲方支付的违约金、损失赔偿金等款项，发包人有权在应付未付款项、履约保证金中直接扣除；不足部分，发包人有权继续追偿。</w:t>
      </w:r>
    </w:p>
    <w:p>
      <w:pPr>
        <w:pStyle w:val="11"/>
        <w:spacing w:before="80" w:line="220" w:lineRule="auto"/>
        <w:ind w:left="-200" w:leftChars="0" w:hanging="69" w:firstLineChars="0"/>
        <w:rPr>
          <w:rFonts w:hint="default"/>
          <w:spacing w:val="-6"/>
          <w:sz w:val="21"/>
          <w:szCs w:val="21"/>
          <w:u w:val="single" w:color="auto"/>
          <w:lang w:val="en-US" w:eastAsia="zh-CN"/>
        </w:rPr>
      </w:pPr>
      <w:r>
        <w:rPr>
          <w:rFonts w:hint="eastAsia"/>
          <w:spacing w:val="-6"/>
          <w:sz w:val="21"/>
          <w:szCs w:val="21"/>
          <w:u w:val="single" w:color="auto"/>
          <w:lang w:val="en-US" w:eastAsia="zh-CN"/>
        </w:rPr>
        <w:t>14.2.7设计人因违约而应向发包人支付的违约金、损失赔偿金等款项，发包人有权在应付未付款项、工程质量保证金和履约保证金中直接扣除；不足部分，发包人有权继续追偿。 因设计人违约而应向发包人赔偿损失的范围包括但不限于诉讼费、保全费、保全保险费、守约方聘请律师的费用、差旅费、鉴定费、公证费、发包人向第三方赔偿的款项、行政罚款、补开发票产生的税款等。</w:t>
      </w:r>
    </w:p>
    <w:p>
      <w:pPr>
        <w:pStyle w:val="11"/>
        <w:spacing w:before="30" w:line="221" w:lineRule="auto"/>
        <w:ind w:left="458"/>
        <w:outlineLvl w:val="1"/>
        <w:rPr>
          <w:sz w:val="21"/>
          <w:szCs w:val="21"/>
        </w:rPr>
      </w:pPr>
      <w:r>
        <w:rPr>
          <w:b/>
          <w:bCs/>
          <w:spacing w:val="-7"/>
          <w:sz w:val="21"/>
          <w:szCs w:val="21"/>
        </w:rPr>
        <w:t>15.</w:t>
      </w:r>
      <w:r>
        <w:rPr>
          <w:spacing w:val="17"/>
          <w:sz w:val="21"/>
          <w:szCs w:val="21"/>
        </w:rPr>
        <w:t xml:space="preserve"> </w:t>
      </w:r>
      <w:r>
        <w:rPr>
          <w:b/>
          <w:bCs/>
          <w:spacing w:val="-7"/>
          <w:sz w:val="21"/>
          <w:szCs w:val="21"/>
        </w:rPr>
        <w:t>不可抗力</w:t>
      </w:r>
    </w:p>
    <w:p>
      <w:pPr>
        <w:pStyle w:val="11"/>
        <w:spacing w:before="77" w:line="221" w:lineRule="auto"/>
        <w:ind w:left="455"/>
        <w:outlineLvl w:val="2"/>
        <w:rPr>
          <w:sz w:val="21"/>
          <w:szCs w:val="21"/>
        </w:rPr>
      </w:pPr>
      <w:r>
        <w:rPr>
          <w:spacing w:val="-2"/>
          <w:sz w:val="21"/>
          <w:szCs w:val="21"/>
        </w:rPr>
        <w:t>15.1 不可抗力的确认</w:t>
      </w:r>
    </w:p>
    <w:p>
      <w:pPr>
        <w:pStyle w:val="11"/>
        <w:spacing w:before="76" w:line="287" w:lineRule="auto"/>
        <w:ind w:left="20" w:firstLine="432"/>
        <w:jc w:val="both"/>
        <w:rPr>
          <w:sz w:val="21"/>
          <w:szCs w:val="21"/>
        </w:rPr>
      </w:pPr>
      <w:r>
        <w:rPr>
          <w:spacing w:val="-2"/>
          <w:sz w:val="21"/>
          <w:szCs w:val="21"/>
        </w:rPr>
        <w:t>除通用合同条款约定的不可抗力事件之外，视为不可抗力的其他情形：</w:t>
      </w:r>
      <w:r>
        <w:rPr>
          <w:spacing w:val="-2"/>
          <w:sz w:val="21"/>
          <w:szCs w:val="21"/>
          <w:u w:val="single" w:color="auto"/>
        </w:rPr>
        <w:t xml:space="preserve"> 因政府或相关主管</w:t>
      </w:r>
      <w:r>
        <w:rPr>
          <w:spacing w:val="18"/>
          <w:sz w:val="21"/>
          <w:szCs w:val="21"/>
        </w:rPr>
        <w:t xml:space="preserve"> </w:t>
      </w:r>
      <w:r>
        <w:rPr>
          <w:spacing w:val="-1"/>
          <w:sz w:val="21"/>
          <w:szCs w:val="21"/>
          <w:u w:val="single" w:color="auto"/>
        </w:rPr>
        <w:t>部门要求导致项目中断设计。1、不可抗力是指不能预见、不能避免并不能克</w:t>
      </w:r>
      <w:r>
        <w:rPr>
          <w:spacing w:val="-2"/>
          <w:sz w:val="21"/>
          <w:szCs w:val="21"/>
          <w:u w:val="single" w:color="auto"/>
        </w:rPr>
        <w:t>服的客观情况，包</w:t>
      </w:r>
      <w:r>
        <w:rPr>
          <w:sz w:val="21"/>
          <w:szCs w:val="21"/>
        </w:rPr>
        <w:t xml:space="preserve"> </w:t>
      </w:r>
      <w:r>
        <w:rPr>
          <w:sz w:val="21"/>
          <w:szCs w:val="21"/>
          <w:u w:val="single" w:color="auto"/>
        </w:rPr>
        <w:t>括洪水、地震、疫情等自然原因，战争、政变、政府行为等社会及政府行为原因等。2、</w:t>
      </w:r>
      <w:r>
        <w:rPr>
          <w:spacing w:val="-1"/>
          <w:sz w:val="21"/>
          <w:szCs w:val="21"/>
          <w:u w:val="single" w:color="auto"/>
        </w:rPr>
        <w:t>主张</w:t>
      </w:r>
      <w:r>
        <w:rPr>
          <w:sz w:val="21"/>
          <w:szCs w:val="21"/>
          <w:u w:val="single" w:color="auto"/>
        </w:rPr>
        <w:t>发生不可抗力的一方应在不可抗力事件发生后及时书面通知其他各方，并在其后的十五(15</w:t>
      </w:r>
      <w:r>
        <w:rPr>
          <w:spacing w:val="-1"/>
          <w:sz w:val="21"/>
          <w:szCs w:val="21"/>
          <w:u w:val="single" w:color="auto"/>
        </w:rPr>
        <w:t>)天</w:t>
      </w:r>
      <w:r>
        <w:rPr>
          <w:spacing w:val="-2"/>
          <w:sz w:val="21"/>
          <w:szCs w:val="21"/>
          <w:u w:val="single" w:color="auto"/>
        </w:rPr>
        <w:t>内提供证明不可抗力发生及其持续时间的足够证据。3、 不可抗力事件，各方</w:t>
      </w:r>
      <w:r>
        <w:rPr>
          <w:spacing w:val="-3"/>
          <w:sz w:val="21"/>
          <w:szCs w:val="21"/>
          <w:u w:val="single" w:color="auto"/>
        </w:rPr>
        <w:t>应立即互相协商，</w:t>
      </w:r>
      <w:r>
        <w:rPr>
          <w:sz w:val="21"/>
          <w:szCs w:val="21"/>
          <w:u w:val="single" w:color="auto"/>
        </w:rPr>
        <w:t>以找到公平的解决办法，并且应尽一切合理努力将不可抗力的影响减少到最低限度。如不</w:t>
      </w:r>
      <w:r>
        <w:rPr>
          <w:spacing w:val="-1"/>
          <w:sz w:val="21"/>
          <w:szCs w:val="21"/>
          <w:u w:val="single" w:color="auto"/>
        </w:rPr>
        <w:t>可抗</w:t>
      </w:r>
      <w:r>
        <w:rPr>
          <w:sz w:val="21"/>
          <w:szCs w:val="21"/>
          <w:u w:val="single" w:color="auto"/>
        </w:rPr>
        <w:t>力的发生或后果对合同的履行造成重大妨碍，时间超过六个月，并且各方没有找到公平的</w:t>
      </w:r>
      <w:r>
        <w:rPr>
          <w:spacing w:val="-1"/>
          <w:sz w:val="21"/>
          <w:szCs w:val="21"/>
          <w:u w:val="single" w:color="auto"/>
        </w:rPr>
        <w:t>解决</w:t>
      </w:r>
      <w:r>
        <w:rPr>
          <w:sz w:val="21"/>
          <w:szCs w:val="21"/>
          <w:u w:val="single" w:color="auto"/>
        </w:rPr>
        <w:t>办法，则任何一方可终止本协议的程序，但条件是该方已履行其在本条项下的义务。</w:t>
      </w:r>
    </w:p>
    <w:p>
      <w:pPr>
        <w:pStyle w:val="11"/>
        <w:spacing w:before="152" w:line="221" w:lineRule="auto"/>
        <w:ind w:left="458"/>
        <w:rPr>
          <w:sz w:val="21"/>
          <w:szCs w:val="21"/>
        </w:rPr>
      </w:pPr>
      <w:r>
        <w:rPr>
          <w:b/>
          <w:bCs/>
          <w:spacing w:val="-6"/>
          <w:sz w:val="21"/>
          <w:szCs w:val="21"/>
        </w:rPr>
        <w:t>16.</w:t>
      </w:r>
      <w:r>
        <w:rPr>
          <w:spacing w:val="9"/>
          <w:sz w:val="21"/>
          <w:szCs w:val="21"/>
        </w:rPr>
        <w:t xml:space="preserve"> </w:t>
      </w:r>
      <w:r>
        <w:rPr>
          <w:b/>
          <w:bCs/>
          <w:spacing w:val="-6"/>
          <w:sz w:val="21"/>
          <w:szCs w:val="21"/>
        </w:rPr>
        <w:t>合同解除</w:t>
      </w:r>
    </w:p>
    <w:p>
      <w:pPr>
        <w:pStyle w:val="11"/>
        <w:spacing w:before="77" w:line="221" w:lineRule="auto"/>
        <w:ind w:left="455"/>
        <w:rPr>
          <w:sz w:val="21"/>
          <w:szCs w:val="21"/>
        </w:rPr>
      </w:pPr>
      <w:r>
        <w:rPr>
          <w:spacing w:val="-3"/>
          <w:sz w:val="21"/>
          <w:szCs w:val="21"/>
        </w:rPr>
        <w:t>16.1</w:t>
      </w:r>
      <w:r>
        <w:rPr>
          <w:spacing w:val="-39"/>
          <w:sz w:val="21"/>
          <w:szCs w:val="21"/>
        </w:rPr>
        <w:t xml:space="preserve"> </w:t>
      </w:r>
      <w:r>
        <w:rPr>
          <w:spacing w:val="-3"/>
          <w:sz w:val="21"/>
          <w:szCs w:val="21"/>
        </w:rPr>
        <w:t>有下列情形之一的，可以解除合同：</w:t>
      </w:r>
    </w:p>
    <w:p>
      <w:pPr>
        <w:pStyle w:val="11"/>
        <w:spacing w:before="81" w:line="221" w:lineRule="auto"/>
        <w:ind w:left="446"/>
        <w:rPr>
          <w:spacing w:val="-4"/>
          <w:sz w:val="21"/>
          <w:szCs w:val="21"/>
        </w:rPr>
      </w:pPr>
      <w:r>
        <w:rPr>
          <w:spacing w:val="-4"/>
          <w:sz w:val="21"/>
          <w:szCs w:val="21"/>
        </w:rPr>
        <w:t>（1）暂停设计期限已连续超过</w:t>
      </w:r>
      <w:r>
        <w:rPr>
          <w:spacing w:val="-12"/>
          <w:sz w:val="21"/>
          <w:szCs w:val="21"/>
        </w:rPr>
        <w:t xml:space="preserve"> </w:t>
      </w:r>
      <w:r>
        <w:rPr>
          <w:spacing w:val="-4"/>
          <w:sz w:val="21"/>
          <w:szCs w:val="21"/>
          <w:u w:val="single" w:color="auto"/>
        </w:rPr>
        <w:t>180</w:t>
      </w:r>
      <w:r>
        <w:rPr>
          <w:spacing w:val="-40"/>
          <w:sz w:val="21"/>
          <w:szCs w:val="21"/>
          <w:u w:val="single" w:color="auto"/>
        </w:rPr>
        <w:t xml:space="preserve"> </w:t>
      </w:r>
      <w:r>
        <w:rPr>
          <w:spacing w:val="-4"/>
          <w:sz w:val="21"/>
          <w:szCs w:val="21"/>
        </w:rPr>
        <w:t>天。</w:t>
      </w:r>
    </w:p>
    <w:p>
      <w:pPr>
        <w:pStyle w:val="11"/>
        <w:spacing w:before="81" w:line="221" w:lineRule="auto"/>
        <w:ind w:left="446"/>
        <w:rPr>
          <w:spacing w:val="-4"/>
          <w:sz w:val="21"/>
          <w:szCs w:val="21"/>
        </w:rPr>
      </w:pPr>
      <w:r>
        <w:rPr>
          <w:spacing w:val="-2"/>
          <w:sz w:val="21"/>
          <w:szCs w:val="21"/>
        </w:rPr>
        <w:t>（2）因设计人原因造成设计文件不合格致使审查无法通过达到</w:t>
      </w:r>
      <w:r>
        <w:rPr>
          <w:spacing w:val="-40"/>
          <w:sz w:val="21"/>
          <w:szCs w:val="21"/>
        </w:rPr>
        <w:t xml:space="preserve"> </w:t>
      </w:r>
      <w:r>
        <w:rPr>
          <w:spacing w:val="-2"/>
          <w:sz w:val="21"/>
          <w:szCs w:val="21"/>
        </w:rPr>
        <w:t>3</w:t>
      </w:r>
      <w:r>
        <w:rPr>
          <w:spacing w:val="-38"/>
          <w:sz w:val="21"/>
          <w:szCs w:val="21"/>
        </w:rPr>
        <w:t xml:space="preserve"> </w:t>
      </w:r>
      <w:r>
        <w:rPr>
          <w:spacing w:val="-2"/>
          <w:sz w:val="21"/>
          <w:szCs w:val="21"/>
        </w:rPr>
        <w:t>次的，发包人有权</w:t>
      </w:r>
      <w:r>
        <w:rPr>
          <w:spacing w:val="-3"/>
          <w:sz w:val="21"/>
          <w:szCs w:val="21"/>
        </w:rPr>
        <w:t>单方面</w:t>
      </w:r>
      <w:r>
        <w:rPr>
          <w:sz w:val="21"/>
          <w:szCs w:val="21"/>
        </w:rPr>
        <w:t xml:space="preserve"> </w:t>
      </w:r>
      <w:r>
        <w:rPr>
          <w:spacing w:val="-4"/>
          <w:sz w:val="21"/>
          <w:szCs w:val="21"/>
        </w:rPr>
        <w:t>解除合同。</w:t>
      </w:r>
    </w:p>
    <w:p>
      <w:pPr>
        <w:pStyle w:val="11"/>
        <w:keepNext w:val="0"/>
        <w:keepLines w:val="0"/>
        <w:pageBreakBefore w:val="0"/>
        <w:widowControl/>
        <w:kinsoku/>
        <w:wordWrap/>
        <w:overflowPunct/>
        <w:topLinePunct w:val="0"/>
        <w:autoSpaceDE/>
        <w:autoSpaceDN/>
        <w:bidi w:val="0"/>
        <w:adjustRightInd/>
        <w:snapToGrid/>
        <w:spacing w:before="0" w:line="240" w:lineRule="auto"/>
        <w:ind w:left="-261" w:right="-28" w:firstLine="0"/>
        <w:textAlignment w:val="auto"/>
        <w:rPr>
          <w:spacing w:val="-1"/>
          <w:sz w:val="21"/>
          <w:szCs w:val="21"/>
        </w:rPr>
      </w:pPr>
      <w:r>
        <w:rPr>
          <w:spacing w:val="-3"/>
          <w:sz w:val="21"/>
          <w:szCs w:val="21"/>
        </w:rPr>
        <w:t>（3）设计人应按专用合同条款第</w:t>
      </w:r>
      <w:r>
        <w:rPr>
          <w:spacing w:val="-36"/>
          <w:sz w:val="21"/>
          <w:szCs w:val="21"/>
        </w:rPr>
        <w:t xml:space="preserve"> </w:t>
      </w:r>
      <w:r>
        <w:rPr>
          <w:spacing w:val="-3"/>
          <w:sz w:val="21"/>
          <w:szCs w:val="21"/>
        </w:rPr>
        <w:t>7.2</w:t>
      </w:r>
      <w:r>
        <w:rPr>
          <w:spacing w:val="-45"/>
          <w:sz w:val="21"/>
          <w:szCs w:val="21"/>
        </w:rPr>
        <w:t xml:space="preserve"> </w:t>
      </w:r>
      <w:r>
        <w:rPr>
          <w:spacing w:val="-3"/>
          <w:sz w:val="21"/>
          <w:szCs w:val="21"/>
        </w:rPr>
        <w:t>条、附件</w:t>
      </w:r>
      <w:r>
        <w:rPr>
          <w:spacing w:val="-39"/>
          <w:sz w:val="21"/>
          <w:szCs w:val="21"/>
        </w:rPr>
        <w:t xml:space="preserve"> </w:t>
      </w:r>
      <w:r>
        <w:rPr>
          <w:spacing w:val="-3"/>
          <w:sz w:val="21"/>
          <w:szCs w:val="21"/>
        </w:rPr>
        <w:t>3</w:t>
      </w:r>
      <w:r>
        <w:rPr>
          <w:spacing w:val="-23"/>
          <w:sz w:val="21"/>
          <w:szCs w:val="21"/>
        </w:rPr>
        <w:t xml:space="preserve"> </w:t>
      </w:r>
      <w:r>
        <w:rPr>
          <w:spacing w:val="-3"/>
          <w:sz w:val="21"/>
          <w:szCs w:val="21"/>
        </w:rPr>
        <w:t>以及发包人根据工程进展情况要求的期限</w:t>
      </w:r>
      <w:r>
        <w:rPr>
          <w:sz w:val="21"/>
          <w:szCs w:val="21"/>
        </w:rPr>
        <w:t xml:space="preserve"> </w:t>
      </w:r>
      <w:r>
        <w:rPr>
          <w:spacing w:val="-2"/>
          <w:sz w:val="21"/>
          <w:szCs w:val="21"/>
        </w:rPr>
        <w:t>交付设计文件，单次交付阶段逾期超过</w:t>
      </w:r>
      <w:r>
        <w:rPr>
          <w:spacing w:val="-26"/>
          <w:sz w:val="21"/>
          <w:szCs w:val="21"/>
        </w:rPr>
        <w:t xml:space="preserve"> </w:t>
      </w:r>
      <w:r>
        <w:rPr>
          <w:spacing w:val="-2"/>
          <w:sz w:val="21"/>
          <w:szCs w:val="21"/>
        </w:rPr>
        <w:t>15 日历天的，发包人有权单方面解除</w:t>
      </w:r>
      <w:r>
        <w:rPr>
          <w:spacing w:val="-3"/>
          <w:sz w:val="21"/>
          <w:szCs w:val="21"/>
        </w:rPr>
        <w:t>合同。设计人有</w:t>
      </w:r>
      <w:r>
        <w:rPr>
          <w:spacing w:val="-39"/>
          <w:sz w:val="21"/>
          <w:szCs w:val="21"/>
        </w:rPr>
        <w:t xml:space="preserve"> </w:t>
      </w:r>
      <w:r>
        <w:rPr>
          <w:spacing w:val="-3"/>
          <w:sz w:val="21"/>
          <w:szCs w:val="21"/>
        </w:rPr>
        <w:t>2</w:t>
      </w:r>
      <w:r>
        <w:rPr>
          <w:sz w:val="21"/>
          <w:szCs w:val="21"/>
        </w:rPr>
        <w:t xml:space="preserve"> </w:t>
      </w:r>
      <w:r>
        <w:rPr>
          <w:spacing w:val="-1"/>
          <w:sz w:val="21"/>
          <w:szCs w:val="21"/>
        </w:rPr>
        <w:t>次（含</w:t>
      </w:r>
      <w:r>
        <w:rPr>
          <w:spacing w:val="-40"/>
          <w:sz w:val="21"/>
          <w:szCs w:val="21"/>
        </w:rPr>
        <w:t xml:space="preserve"> </w:t>
      </w:r>
      <w:r>
        <w:rPr>
          <w:spacing w:val="-1"/>
          <w:sz w:val="21"/>
          <w:szCs w:val="21"/>
        </w:rPr>
        <w:t>2</w:t>
      </w:r>
      <w:r>
        <w:rPr>
          <w:spacing w:val="-38"/>
          <w:sz w:val="21"/>
          <w:szCs w:val="21"/>
        </w:rPr>
        <w:t xml:space="preserve"> </w:t>
      </w:r>
      <w:r>
        <w:rPr>
          <w:spacing w:val="-1"/>
          <w:sz w:val="21"/>
          <w:szCs w:val="21"/>
        </w:rPr>
        <w:t>次）以上不依据发包人的通知或函告执行，发包人有权解除本合同。</w:t>
      </w:r>
    </w:p>
    <w:p>
      <w:pPr>
        <w:pStyle w:val="11"/>
        <w:keepNext w:val="0"/>
        <w:keepLines w:val="0"/>
        <w:pageBreakBefore w:val="0"/>
        <w:widowControl/>
        <w:kinsoku/>
        <w:wordWrap/>
        <w:overflowPunct/>
        <w:topLinePunct w:val="0"/>
        <w:autoSpaceDE/>
        <w:autoSpaceDN/>
        <w:bidi w:val="0"/>
        <w:adjustRightInd/>
        <w:snapToGrid/>
        <w:spacing w:before="0" w:line="240" w:lineRule="auto"/>
        <w:ind w:left="-261" w:right="-28" w:firstLine="0"/>
        <w:textAlignment w:val="auto"/>
        <w:rPr>
          <w:spacing w:val="-1"/>
          <w:sz w:val="21"/>
          <w:szCs w:val="21"/>
        </w:rPr>
      </w:pPr>
      <w:r>
        <w:rPr>
          <w:rFonts w:hint="eastAsia"/>
          <w:spacing w:val="-1"/>
          <w:sz w:val="21"/>
          <w:szCs w:val="21"/>
          <w:lang w:eastAsia="zh-CN"/>
        </w:rPr>
        <w:t>（</w:t>
      </w:r>
      <w:r>
        <w:rPr>
          <w:rFonts w:hint="eastAsia"/>
          <w:spacing w:val="-1"/>
          <w:sz w:val="21"/>
          <w:szCs w:val="21"/>
          <w:lang w:val="en-US" w:eastAsia="zh-CN"/>
        </w:rPr>
        <w:t>4）</w:t>
      </w:r>
      <w:r>
        <w:rPr>
          <w:spacing w:val="-1"/>
          <w:sz w:val="21"/>
          <w:szCs w:val="21"/>
        </w:rPr>
        <w:t>设计人需按发包人要求及合同约定时间按质履行合同，如果设计人存在不符合合同约定的违约行为，发包人有权将该部分工作直接分割，分包给第三方完成，所需费用由设计人承担，发包人有权从合同款中予以扣除，同时设计人所需承担责任不免除。</w:t>
      </w:r>
    </w:p>
    <w:p>
      <w:pPr>
        <w:pStyle w:val="11"/>
        <w:spacing w:before="28" w:line="221" w:lineRule="auto"/>
        <w:ind w:left="458"/>
        <w:outlineLvl w:val="1"/>
        <w:rPr>
          <w:sz w:val="21"/>
          <w:szCs w:val="21"/>
        </w:rPr>
      </w:pPr>
      <w:r>
        <w:rPr>
          <w:b/>
          <w:bCs/>
          <w:spacing w:val="-7"/>
          <w:sz w:val="21"/>
          <w:szCs w:val="21"/>
        </w:rPr>
        <w:t>17.</w:t>
      </w:r>
      <w:r>
        <w:rPr>
          <w:spacing w:val="17"/>
          <w:sz w:val="21"/>
          <w:szCs w:val="21"/>
        </w:rPr>
        <w:t xml:space="preserve"> </w:t>
      </w:r>
      <w:r>
        <w:rPr>
          <w:b/>
          <w:bCs/>
          <w:spacing w:val="-7"/>
          <w:sz w:val="21"/>
          <w:szCs w:val="21"/>
        </w:rPr>
        <w:t>争议解决</w:t>
      </w:r>
    </w:p>
    <w:p>
      <w:pPr>
        <w:pStyle w:val="11"/>
        <w:spacing w:before="80" w:line="221" w:lineRule="auto"/>
        <w:ind w:left="455"/>
        <w:outlineLvl w:val="2"/>
        <w:rPr>
          <w:sz w:val="21"/>
          <w:szCs w:val="21"/>
        </w:rPr>
      </w:pPr>
      <w:r>
        <w:rPr>
          <w:spacing w:val="-3"/>
          <w:sz w:val="21"/>
          <w:szCs w:val="21"/>
        </w:rPr>
        <w:t>17.4 仲裁或诉讼</w:t>
      </w:r>
    </w:p>
    <w:p>
      <w:pPr>
        <w:pStyle w:val="11"/>
        <w:spacing w:before="77" w:line="221" w:lineRule="auto"/>
        <w:ind w:left="456"/>
        <w:outlineLvl w:val="1"/>
        <w:rPr>
          <w:sz w:val="21"/>
          <w:szCs w:val="21"/>
        </w:rPr>
      </w:pPr>
      <w:r>
        <w:rPr>
          <w:spacing w:val="-1"/>
          <w:sz w:val="21"/>
          <w:szCs w:val="21"/>
        </w:rPr>
        <w:t>因合同及合同有关事项发生的争议，按下列第（1）种方式解决：</w:t>
      </w:r>
    </w:p>
    <w:p>
      <w:pPr>
        <w:pStyle w:val="11"/>
        <w:spacing w:before="80" w:line="220" w:lineRule="auto"/>
        <w:ind w:left="26"/>
        <w:outlineLvl w:val="1"/>
        <w:rPr>
          <w:sz w:val="21"/>
          <w:szCs w:val="21"/>
        </w:rPr>
      </w:pPr>
      <w:r>
        <w:rPr>
          <w:spacing w:val="-1"/>
          <w:sz w:val="21"/>
          <w:szCs w:val="21"/>
        </w:rPr>
        <w:t>（1）因本协议及本协议在履行过程中发生的争议，由各方友好协商解决，协商不成的</w:t>
      </w:r>
      <w:r>
        <w:rPr>
          <w:spacing w:val="-2"/>
          <w:sz w:val="21"/>
          <w:szCs w:val="21"/>
        </w:rPr>
        <w:t>，任何一</w:t>
      </w:r>
    </w:p>
    <w:p>
      <w:pPr>
        <w:pStyle w:val="11"/>
        <w:spacing w:before="79" w:line="220" w:lineRule="auto"/>
        <w:ind w:left="21"/>
        <w:rPr>
          <w:sz w:val="21"/>
          <w:szCs w:val="21"/>
        </w:rPr>
      </w:pPr>
      <w:r>
        <w:rPr>
          <w:spacing w:val="-1"/>
          <w:sz w:val="21"/>
          <w:szCs w:val="21"/>
        </w:rPr>
        <w:t>方均有权向发包人所在地有管辖权的人民法院起诉。</w:t>
      </w:r>
    </w:p>
    <w:p>
      <w:pPr>
        <w:pStyle w:val="11"/>
        <w:spacing w:before="81" w:line="220" w:lineRule="auto"/>
        <w:ind w:left="26"/>
        <w:outlineLvl w:val="1"/>
        <w:rPr>
          <w:sz w:val="21"/>
          <w:szCs w:val="21"/>
        </w:rPr>
      </w:pPr>
      <w:r>
        <w:rPr>
          <w:spacing w:val="-1"/>
          <w:sz w:val="21"/>
          <w:szCs w:val="21"/>
        </w:rPr>
        <w:t>（2）提请南宁仲裁委员会按照该会仲裁规则进行仲裁，仲裁裁决</w:t>
      </w:r>
      <w:r>
        <w:rPr>
          <w:spacing w:val="-2"/>
          <w:sz w:val="21"/>
          <w:szCs w:val="21"/>
        </w:rPr>
        <w:t>是终局的，对合同双方均有约</w:t>
      </w:r>
      <w:r>
        <w:rPr>
          <w:spacing w:val="-9"/>
          <w:sz w:val="21"/>
          <w:szCs w:val="21"/>
        </w:rPr>
        <w:t>束力。</w:t>
      </w:r>
    </w:p>
    <w:p>
      <w:pPr>
        <w:pStyle w:val="11"/>
        <w:spacing w:before="80" w:line="221" w:lineRule="auto"/>
        <w:ind w:left="458"/>
        <w:outlineLvl w:val="1"/>
        <w:rPr>
          <w:b/>
          <w:bCs/>
          <w:spacing w:val="-8"/>
          <w:sz w:val="21"/>
          <w:szCs w:val="21"/>
        </w:rPr>
      </w:pPr>
      <w:r>
        <w:rPr>
          <w:b/>
          <w:bCs/>
          <w:spacing w:val="-8"/>
          <w:sz w:val="21"/>
          <w:szCs w:val="21"/>
        </w:rPr>
        <w:t>18.</w:t>
      </w:r>
      <w:r>
        <w:rPr>
          <w:spacing w:val="12"/>
          <w:sz w:val="21"/>
          <w:szCs w:val="21"/>
        </w:rPr>
        <w:t xml:space="preserve"> </w:t>
      </w:r>
      <w:r>
        <w:rPr>
          <w:b/>
          <w:bCs/>
          <w:spacing w:val="-8"/>
          <w:sz w:val="21"/>
          <w:szCs w:val="21"/>
        </w:rPr>
        <w:t>其他</w:t>
      </w:r>
    </w:p>
    <w:p>
      <w:pPr>
        <w:pStyle w:val="11"/>
        <w:spacing w:before="80" w:line="221" w:lineRule="auto"/>
        <w:ind w:left="458"/>
        <w:outlineLvl w:val="1"/>
        <w:rPr>
          <w:sz w:val="21"/>
          <w:szCs w:val="21"/>
        </w:rPr>
      </w:pPr>
      <w:r>
        <w:rPr>
          <w:spacing w:val="-4"/>
          <w:sz w:val="21"/>
          <w:szCs w:val="21"/>
        </w:rPr>
        <w:t>18.1</w:t>
      </w:r>
      <w:r>
        <w:rPr>
          <w:spacing w:val="-43"/>
          <w:sz w:val="21"/>
          <w:szCs w:val="21"/>
        </w:rPr>
        <w:t xml:space="preserve"> </w:t>
      </w:r>
      <w:r>
        <w:rPr>
          <w:spacing w:val="-4"/>
          <w:sz w:val="21"/>
          <w:szCs w:val="21"/>
        </w:rPr>
        <w:t>设计人应利用利用本项目已完成的设计成果，如因设计成果未能满</w:t>
      </w:r>
      <w:r>
        <w:rPr>
          <w:spacing w:val="-5"/>
          <w:sz w:val="21"/>
          <w:szCs w:val="21"/>
        </w:rPr>
        <w:t>足本次设计目标时，</w:t>
      </w:r>
      <w:r>
        <w:rPr>
          <w:sz w:val="21"/>
          <w:szCs w:val="21"/>
        </w:rPr>
        <w:t xml:space="preserve"> 应按照相关部门的要求，对发生部分内容给</w:t>
      </w:r>
      <w:r>
        <w:rPr>
          <w:spacing w:val="-1"/>
          <w:sz w:val="21"/>
          <w:szCs w:val="21"/>
        </w:rPr>
        <w:t>予计列。</w:t>
      </w:r>
    </w:p>
    <w:p>
      <w:pPr>
        <w:pStyle w:val="11"/>
        <w:spacing w:before="77" w:line="221" w:lineRule="auto"/>
        <w:ind w:left="455"/>
        <w:rPr>
          <w:sz w:val="21"/>
          <w:szCs w:val="21"/>
        </w:rPr>
      </w:pPr>
      <w:r>
        <w:rPr>
          <w:spacing w:val="-4"/>
          <w:sz w:val="21"/>
          <w:szCs w:val="21"/>
        </w:rPr>
        <w:t>18.2</w:t>
      </w:r>
      <w:r>
        <w:rPr>
          <w:spacing w:val="-41"/>
          <w:sz w:val="21"/>
          <w:szCs w:val="21"/>
        </w:rPr>
        <w:t xml:space="preserve"> </w:t>
      </w:r>
      <w:r>
        <w:rPr>
          <w:spacing w:val="-4"/>
          <w:sz w:val="21"/>
          <w:szCs w:val="21"/>
        </w:rPr>
        <w:t>总体协调单位主要责任：</w:t>
      </w:r>
    </w:p>
    <w:p>
      <w:pPr>
        <w:pStyle w:val="11"/>
        <w:spacing w:before="80" w:line="220" w:lineRule="auto"/>
        <w:ind w:left="446"/>
        <w:rPr>
          <w:sz w:val="21"/>
          <w:szCs w:val="21"/>
        </w:rPr>
      </w:pPr>
      <w:r>
        <w:rPr>
          <w:spacing w:val="-2"/>
          <w:sz w:val="21"/>
          <w:szCs w:val="21"/>
        </w:rPr>
        <w:t>（1）组织各设计人研究建设项目的总体设计方案；</w:t>
      </w:r>
    </w:p>
    <w:p>
      <w:pPr>
        <w:pStyle w:val="11"/>
        <w:spacing w:before="80" w:line="221" w:lineRule="auto"/>
        <w:ind w:left="446"/>
        <w:rPr>
          <w:sz w:val="21"/>
          <w:szCs w:val="21"/>
        </w:rPr>
      </w:pPr>
      <w:r>
        <w:rPr>
          <w:spacing w:val="-1"/>
          <w:sz w:val="21"/>
          <w:szCs w:val="21"/>
        </w:rPr>
        <w:t>（2）确定统一的工程设计标准、规范、深度和要求；</w:t>
      </w:r>
    </w:p>
    <w:p>
      <w:pPr>
        <w:pStyle w:val="11"/>
        <w:spacing w:before="78" w:line="221" w:lineRule="auto"/>
        <w:ind w:left="446"/>
        <w:rPr>
          <w:sz w:val="21"/>
          <w:szCs w:val="21"/>
        </w:rPr>
      </w:pPr>
      <w:r>
        <w:rPr>
          <w:spacing w:val="-1"/>
          <w:sz w:val="21"/>
          <w:szCs w:val="21"/>
        </w:rPr>
        <w:t>（3）组织编制建设项目工程设计总说明、总图和总概算等；</w:t>
      </w:r>
    </w:p>
    <w:p>
      <w:pPr>
        <w:pStyle w:val="11"/>
        <w:spacing w:before="78" w:line="221" w:lineRule="auto"/>
        <w:ind w:left="446"/>
        <w:rPr>
          <w:rFonts w:ascii="Arial"/>
          <w:sz w:val="21"/>
        </w:rPr>
      </w:pPr>
      <w:r>
        <w:rPr>
          <w:sz w:val="21"/>
          <w:szCs w:val="21"/>
        </w:rPr>
        <w:t>（4）协调工程设计进度，组织各设计人按照</w:t>
      </w:r>
      <w:r>
        <w:rPr>
          <w:spacing w:val="-1"/>
          <w:sz w:val="21"/>
          <w:szCs w:val="21"/>
        </w:rPr>
        <w:t>要求提交工程设计文件；</w:t>
      </w:r>
    </w:p>
    <w:p>
      <w:pPr>
        <w:pStyle w:val="11"/>
        <w:spacing w:before="69" w:line="221" w:lineRule="auto"/>
        <w:ind w:left="446"/>
        <w:rPr>
          <w:spacing w:val="-2"/>
          <w:sz w:val="21"/>
          <w:szCs w:val="21"/>
        </w:rPr>
      </w:pPr>
      <w:r>
        <w:rPr>
          <w:spacing w:val="-1"/>
          <w:sz w:val="21"/>
          <w:szCs w:val="21"/>
        </w:rPr>
        <w:t>（5）负责协调、完成各工程设计文件的衔接设计</w:t>
      </w:r>
      <w:r>
        <w:rPr>
          <w:spacing w:val="-2"/>
          <w:sz w:val="21"/>
          <w:szCs w:val="21"/>
        </w:rPr>
        <w:t>工作。</w:t>
      </w:r>
    </w:p>
    <w:p>
      <w:pPr>
        <w:pStyle w:val="11"/>
        <w:keepNext w:val="0"/>
        <w:keepLines w:val="0"/>
        <w:pageBreakBefore w:val="0"/>
        <w:widowControl/>
        <w:kinsoku/>
        <w:wordWrap/>
        <w:overflowPunct/>
        <w:topLinePunct w:val="0"/>
        <w:autoSpaceDE/>
        <w:autoSpaceDN/>
        <w:bidi w:val="0"/>
        <w:adjustRightInd/>
        <w:snapToGrid/>
        <w:spacing w:before="69" w:line="221" w:lineRule="auto"/>
        <w:ind w:left="-261" w:right="-28" w:firstLine="0"/>
        <w:textAlignment w:val="auto"/>
        <w:rPr>
          <w:rFonts w:ascii="Arial"/>
          <w:sz w:val="21"/>
        </w:rPr>
      </w:pPr>
      <w:r>
        <w:rPr>
          <w:spacing w:val="-4"/>
          <w:sz w:val="21"/>
          <w:szCs w:val="21"/>
        </w:rPr>
        <w:t>18.3</w:t>
      </w:r>
      <w:r>
        <w:rPr>
          <w:spacing w:val="-36"/>
          <w:sz w:val="21"/>
          <w:szCs w:val="21"/>
        </w:rPr>
        <w:t xml:space="preserve"> </w:t>
      </w:r>
      <w:r>
        <w:rPr>
          <w:spacing w:val="-4"/>
          <w:sz w:val="21"/>
          <w:szCs w:val="21"/>
        </w:rPr>
        <w:t>本合同载明的通讯地址为双方指定收件地址，今后凡与本合同相关的任何通知、函件、</w:t>
      </w:r>
      <w:r>
        <w:rPr>
          <w:sz w:val="21"/>
          <w:szCs w:val="21"/>
        </w:rPr>
        <w:t xml:space="preserve"> </w:t>
      </w:r>
      <w:r>
        <w:rPr>
          <w:spacing w:val="1"/>
          <w:sz w:val="21"/>
          <w:szCs w:val="21"/>
        </w:rPr>
        <w:t>法律文书（包括但不限于律师函、起诉状、应诉通知、传票、判决书、裁定书等）均送达至该</w:t>
      </w:r>
      <w:r>
        <w:rPr>
          <w:spacing w:val="9"/>
          <w:sz w:val="21"/>
          <w:szCs w:val="21"/>
        </w:rPr>
        <w:t xml:space="preserve"> </w:t>
      </w:r>
      <w:r>
        <w:rPr>
          <w:spacing w:val="-1"/>
          <w:sz w:val="21"/>
          <w:szCs w:val="21"/>
        </w:rPr>
        <w:t>地址，自 EMS 邮件加盖邮戳之日起第三日起视为送达，任一方有变更应书面通知对方</w:t>
      </w:r>
      <w:r>
        <w:rPr>
          <w:spacing w:val="-2"/>
          <w:sz w:val="21"/>
          <w:szCs w:val="21"/>
        </w:rPr>
        <w:t>，否则均</w:t>
      </w:r>
      <w:r>
        <w:rPr>
          <w:sz w:val="21"/>
          <w:szCs w:val="21"/>
        </w:rPr>
        <w:t xml:space="preserve"> </w:t>
      </w:r>
      <w:r>
        <w:rPr>
          <w:spacing w:val="-1"/>
          <w:sz w:val="21"/>
          <w:szCs w:val="21"/>
        </w:rPr>
        <w:t>为有效送达，未及时告知的不良后果由该方承担。</w:t>
      </w:r>
    </w:p>
    <w:p>
      <w:pPr>
        <w:pStyle w:val="11"/>
        <w:spacing w:before="68" w:line="220" w:lineRule="auto"/>
        <w:ind w:left="36"/>
        <w:rPr>
          <w:sz w:val="21"/>
          <w:szCs w:val="21"/>
        </w:rPr>
      </w:pPr>
      <w:r>
        <w:rPr>
          <w:b/>
          <w:bCs/>
          <w:spacing w:val="-8"/>
          <w:sz w:val="21"/>
          <w:szCs w:val="21"/>
        </w:rPr>
        <w:t>附件</w:t>
      </w:r>
    </w:p>
    <w:p>
      <w:pPr>
        <w:pStyle w:val="11"/>
        <w:spacing w:before="80" w:line="220" w:lineRule="auto"/>
        <w:ind w:left="36"/>
        <w:rPr>
          <w:sz w:val="21"/>
          <w:szCs w:val="21"/>
        </w:rPr>
      </w:pPr>
      <w:r>
        <w:rPr>
          <w:spacing w:val="-3"/>
          <w:sz w:val="21"/>
          <w:szCs w:val="21"/>
        </w:rPr>
        <w:t>附件</w:t>
      </w:r>
      <w:r>
        <w:rPr>
          <w:spacing w:val="-25"/>
          <w:sz w:val="21"/>
          <w:szCs w:val="21"/>
        </w:rPr>
        <w:t xml:space="preserve"> </w:t>
      </w:r>
      <w:r>
        <w:rPr>
          <w:spacing w:val="-3"/>
          <w:sz w:val="21"/>
          <w:szCs w:val="21"/>
        </w:rPr>
        <w:t>1：工程设计范围、阶段与服务内容</w:t>
      </w:r>
    </w:p>
    <w:p>
      <w:pPr>
        <w:pStyle w:val="11"/>
        <w:spacing w:before="79" w:line="220" w:lineRule="auto"/>
        <w:ind w:left="36"/>
        <w:rPr>
          <w:sz w:val="21"/>
          <w:szCs w:val="21"/>
        </w:rPr>
      </w:pPr>
      <w:r>
        <w:rPr>
          <w:spacing w:val="-2"/>
          <w:sz w:val="21"/>
          <w:szCs w:val="21"/>
        </w:rPr>
        <w:t>附件</w:t>
      </w:r>
      <w:r>
        <w:rPr>
          <w:spacing w:val="-26"/>
          <w:sz w:val="21"/>
          <w:szCs w:val="21"/>
        </w:rPr>
        <w:t xml:space="preserve"> </w:t>
      </w:r>
      <w:r>
        <w:rPr>
          <w:spacing w:val="-2"/>
          <w:sz w:val="21"/>
          <w:szCs w:val="21"/>
        </w:rPr>
        <w:t>2：发包人向设计人提交的有关资料及文件一览表</w:t>
      </w:r>
    </w:p>
    <w:p>
      <w:pPr>
        <w:pStyle w:val="11"/>
        <w:spacing w:before="80" w:line="220" w:lineRule="auto"/>
        <w:ind w:left="36"/>
        <w:rPr>
          <w:sz w:val="21"/>
          <w:szCs w:val="21"/>
        </w:rPr>
      </w:pPr>
      <w:r>
        <w:rPr>
          <w:spacing w:val="-2"/>
          <w:sz w:val="21"/>
          <w:szCs w:val="21"/>
        </w:rPr>
        <w:t>附件</w:t>
      </w:r>
      <w:r>
        <w:rPr>
          <w:spacing w:val="-35"/>
          <w:sz w:val="21"/>
          <w:szCs w:val="21"/>
        </w:rPr>
        <w:t xml:space="preserve"> </w:t>
      </w:r>
      <w:r>
        <w:rPr>
          <w:spacing w:val="-2"/>
          <w:sz w:val="21"/>
          <w:szCs w:val="21"/>
        </w:rPr>
        <w:t>3：设计人向发包人交付的工程设计文件目录</w:t>
      </w:r>
    </w:p>
    <w:p>
      <w:pPr>
        <w:pStyle w:val="11"/>
        <w:spacing w:before="80" w:line="220" w:lineRule="auto"/>
        <w:ind w:left="36"/>
        <w:rPr>
          <w:sz w:val="21"/>
          <w:szCs w:val="21"/>
        </w:rPr>
      </w:pPr>
      <w:r>
        <w:rPr>
          <w:spacing w:val="-3"/>
          <w:sz w:val="21"/>
          <w:szCs w:val="21"/>
        </w:rPr>
        <w:t>附件</w:t>
      </w:r>
      <w:r>
        <w:rPr>
          <w:spacing w:val="-39"/>
          <w:sz w:val="21"/>
          <w:szCs w:val="21"/>
        </w:rPr>
        <w:t xml:space="preserve"> </w:t>
      </w:r>
      <w:r>
        <w:rPr>
          <w:spacing w:val="-3"/>
          <w:sz w:val="21"/>
          <w:szCs w:val="21"/>
        </w:rPr>
        <w:t>4：设计人主要设计人员表</w:t>
      </w:r>
    </w:p>
    <w:p>
      <w:pPr>
        <w:pStyle w:val="11"/>
        <w:spacing w:before="81" w:line="220" w:lineRule="auto"/>
        <w:ind w:left="36"/>
        <w:rPr>
          <w:sz w:val="21"/>
          <w:szCs w:val="21"/>
        </w:rPr>
      </w:pPr>
      <w:r>
        <w:rPr>
          <w:spacing w:val="-4"/>
          <w:sz w:val="21"/>
          <w:szCs w:val="21"/>
        </w:rPr>
        <w:t>附件</w:t>
      </w:r>
      <w:r>
        <w:rPr>
          <w:spacing w:val="-35"/>
          <w:sz w:val="21"/>
          <w:szCs w:val="21"/>
        </w:rPr>
        <w:t xml:space="preserve"> </w:t>
      </w:r>
      <w:r>
        <w:rPr>
          <w:spacing w:val="-4"/>
          <w:sz w:val="21"/>
          <w:szCs w:val="21"/>
        </w:rPr>
        <w:t>5: 设计进度表</w:t>
      </w:r>
    </w:p>
    <w:p>
      <w:pPr>
        <w:pStyle w:val="11"/>
        <w:spacing w:before="78" w:line="220" w:lineRule="auto"/>
        <w:ind w:left="36"/>
        <w:rPr>
          <w:sz w:val="21"/>
          <w:szCs w:val="21"/>
        </w:rPr>
      </w:pPr>
      <w:r>
        <w:rPr>
          <w:spacing w:val="-3"/>
          <w:sz w:val="21"/>
          <w:szCs w:val="21"/>
        </w:rPr>
        <w:t>附件</w:t>
      </w:r>
      <w:r>
        <w:rPr>
          <w:spacing w:val="-29"/>
          <w:sz w:val="21"/>
          <w:szCs w:val="21"/>
        </w:rPr>
        <w:t xml:space="preserve"> </w:t>
      </w:r>
      <w:r>
        <w:rPr>
          <w:spacing w:val="-3"/>
          <w:sz w:val="21"/>
          <w:szCs w:val="21"/>
        </w:rPr>
        <w:t>6: 设计费明细及支付方式</w:t>
      </w:r>
    </w:p>
    <w:p>
      <w:pPr>
        <w:pStyle w:val="11"/>
        <w:spacing w:before="81" w:line="220" w:lineRule="auto"/>
        <w:ind w:left="36"/>
        <w:rPr>
          <w:sz w:val="21"/>
          <w:szCs w:val="21"/>
        </w:rPr>
      </w:pPr>
      <w:r>
        <w:rPr>
          <w:spacing w:val="-3"/>
          <w:sz w:val="21"/>
          <w:szCs w:val="21"/>
        </w:rPr>
        <w:t>附件</w:t>
      </w:r>
      <w:r>
        <w:rPr>
          <w:spacing w:val="-26"/>
          <w:sz w:val="21"/>
          <w:szCs w:val="21"/>
        </w:rPr>
        <w:t xml:space="preserve"> </w:t>
      </w:r>
      <w:r>
        <w:rPr>
          <w:spacing w:val="-3"/>
          <w:sz w:val="21"/>
          <w:szCs w:val="21"/>
        </w:rPr>
        <w:t>7: 设计变更计费依据和方法</w:t>
      </w:r>
    </w:p>
    <w:p>
      <w:pPr>
        <w:spacing w:before="92" w:line="222" w:lineRule="auto"/>
        <w:ind w:left="38"/>
        <w:rPr>
          <w:rFonts w:ascii="黑体" w:hAnsi="黑体" w:eastAsia="黑体" w:cs="黑体"/>
          <w:b/>
          <w:bCs/>
          <w:spacing w:val="-15"/>
          <w:sz w:val="28"/>
          <w:szCs w:val="28"/>
        </w:rPr>
      </w:pPr>
    </w:p>
    <w:p>
      <w:pPr>
        <w:spacing w:before="92" w:line="222" w:lineRule="auto"/>
        <w:ind w:left="38"/>
        <w:rPr>
          <w:rFonts w:ascii="黑体" w:hAnsi="黑体" w:eastAsia="黑体" w:cs="黑体"/>
          <w:b/>
          <w:bCs/>
          <w:spacing w:val="-15"/>
          <w:sz w:val="28"/>
          <w:szCs w:val="28"/>
        </w:rPr>
      </w:pPr>
    </w:p>
    <w:p>
      <w:pPr>
        <w:spacing w:before="92" w:line="222" w:lineRule="auto"/>
        <w:ind w:left="38"/>
        <w:rPr>
          <w:rFonts w:ascii="黑体" w:hAnsi="黑体" w:eastAsia="黑体" w:cs="黑体"/>
          <w:b/>
          <w:bCs/>
          <w:spacing w:val="-15"/>
          <w:sz w:val="28"/>
          <w:szCs w:val="28"/>
        </w:rPr>
      </w:pPr>
    </w:p>
    <w:p>
      <w:pPr>
        <w:spacing w:before="92" w:line="222" w:lineRule="auto"/>
        <w:ind w:left="38"/>
        <w:rPr>
          <w:rFonts w:ascii="黑体" w:hAnsi="黑体" w:eastAsia="黑体" w:cs="黑体"/>
          <w:b/>
          <w:bCs/>
          <w:spacing w:val="-15"/>
          <w:sz w:val="28"/>
          <w:szCs w:val="28"/>
        </w:rPr>
      </w:pPr>
    </w:p>
    <w:p>
      <w:pPr>
        <w:spacing w:before="92" w:line="222" w:lineRule="auto"/>
        <w:ind w:left="38"/>
        <w:rPr>
          <w:rFonts w:ascii="黑体" w:hAnsi="黑体" w:eastAsia="黑体" w:cs="黑体"/>
          <w:b/>
          <w:bCs/>
          <w:spacing w:val="-15"/>
          <w:sz w:val="28"/>
          <w:szCs w:val="28"/>
        </w:rPr>
      </w:pPr>
    </w:p>
    <w:p>
      <w:pPr>
        <w:spacing w:before="92" w:line="222" w:lineRule="auto"/>
        <w:ind w:left="38"/>
        <w:rPr>
          <w:rFonts w:ascii="黑体" w:hAnsi="黑体" w:eastAsia="黑体" w:cs="黑体"/>
          <w:sz w:val="28"/>
          <w:szCs w:val="28"/>
        </w:rPr>
      </w:pPr>
      <w:r>
        <w:rPr>
          <w:rFonts w:ascii="黑体" w:hAnsi="黑体" w:eastAsia="黑体" w:cs="黑体"/>
          <w:b/>
          <w:bCs/>
          <w:spacing w:val="-15"/>
          <w:sz w:val="28"/>
          <w:szCs w:val="28"/>
        </w:rPr>
        <w:t>附件</w:t>
      </w:r>
      <w:r>
        <w:rPr>
          <w:rFonts w:ascii="黑体" w:hAnsi="黑体" w:eastAsia="黑体" w:cs="黑体"/>
          <w:spacing w:val="-46"/>
          <w:sz w:val="28"/>
          <w:szCs w:val="28"/>
        </w:rPr>
        <w:t xml:space="preserve"> </w:t>
      </w:r>
      <w:r>
        <w:rPr>
          <w:rFonts w:ascii="黑体" w:hAnsi="黑体" w:eastAsia="黑体" w:cs="黑体"/>
          <w:b/>
          <w:bCs/>
          <w:spacing w:val="-15"/>
          <w:sz w:val="28"/>
          <w:szCs w:val="28"/>
        </w:rPr>
        <w:t>1：</w:t>
      </w:r>
    </w:p>
    <w:p>
      <w:pPr>
        <w:spacing w:line="260" w:lineRule="auto"/>
        <w:rPr>
          <w:rFonts w:ascii="Arial"/>
          <w:sz w:val="21"/>
        </w:rPr>
      </w:pPr>
    </w:p>
    <w:p>
      <w:pPr>
        <w:spacing w:line="261" w:lineRule="auto"/>
        <w:rPr>
          <w:rFonts w:ascii="Arial"/>
          <w:sz w:val="21"/>
        </w:rPr>
      </w:pPr>
    </w:p>
    <w:p>
      <w:pPr>
        <w:spacing w:before="91" w:line="219" w:lineRule="auto"/>
        <w:ind w:left="2679"/>
        <w:rPr>
          <w:rFonts w:ascii="黑体" w:hAnsi="黑体" w:eastAsia="黑体" w:cs="黑体"/>
          <w:sz w:val="28"/>
          <w:szCs w:val="28"/>
        </w:rPr>
      </w:pPr>
      <w:r>
        <w:rPr>
          <w:rFonts w:ascii="黑体" w:hAnsi="黑体" w:eastAsia="黑体" w:cs="黑体"/>
          <w:spacing w:val="-1"/>
          <w:sz w:val="28"/>
          <w:szCs w:val="28"/>
        </w:rPr>
        <w:t>工程设计范围、阶段与服务内容</w:t>
      </w:r>
    </w:p>
    <w:p>
      <w:pPr>
        <w:spacing w:line="271" w:lineRule="auto"/>
        <w:ind w:left="0" w:leftChars="0" w:firstLine="0" w:firstLineChars="0"/>
        <w:rPr>
          <w:rFonts w:ascii="Arial"/>
          <w:sz w:val="21"/>
        </w:rPr>
      </w:pPr>
    </w:p>
    <w:p>
      <w:pPr>
        <w:pStyle w:val="11"/>
        <w:spacing w:before="68" w:line="220" w:lineRule="auto"/>
        <w:ind w:left="446"/>
        <w:rPr>
          <w:sz w:val="21"/>
          <w:szCs w:val="21"/>
        </w:rPr>
      </w:pPr>
      <w:r>
        <w:rPr>
          <w:b/>
          <w:bCs/>
          <w:spacing w:val="-5"/>
          <w:sz w:val="21"/>
          <w:szCs w:val="21"/>
        </w:rPr>
        <w:t>一、本工程设计范围</w:t>
      </w:r>
    </w:p>
    <w:p>
      <w:pPr>
        <w:pStyle w:val="11"/>
        <w:spacing w:before="160" w:line="221" w:lineRule="auto"/>
        <w:ind w:left="442"/>
        <w:rPr>
          <w:sz w:val="21"/>
          <w:szCs w:val="21"/>
        </w:rPr>
      </w:pPr>
      <w:r>
        <w:rPr>
          <w:spacing w:val="-4"/>
          <w:sz w:val="21"/>
          <w:szCs w:val="21"/>
        </w:rPr>
        <w:t>工程设计范围：方案设计、初步设计（含概算）、施工图设计及施工图预算编制。</w:t>
      </w:r>
    </w:p>
    <w:p>
      <w:pPr>
        <w:pStyle w:val="11"/>
        <w:spacing w:before="157" w:line="220" w:lineRule="auto"/>
        <w:ind w:left="446"/>
        <w:rPr>
          <w:sz w:val="21"/>
          <w:szCs w:val="21"/>
        </w:rPr>
      </w:pPr>
      <w:r>
        <w:rPr>
          <w:b/>
          <w:bCs/>
          <w:spacing w:val="-3"/>
          <w:sz w:val="21"/>
          <w:szCs w:val="21"/>
        </w:rPr>
        <w:t>二、本工程设计阶段划分</w:t>
      </w:r>
    </w:p>
    <w:p>
      <w:pPr>
        <w:pStyle w:val="11"/>
        <w:spacing w:before="158" w:line="345" w:lineRule="auto"/>
        <w:ind w:left="20" w:right="71" w:firstLine="422"/>
        <w:rPr>
          <w:sz w:val="21"/>
          <w:szCs w:val="21"/>
        </w:rPr>
      </w:pPr>
      <w:r>
        <w:rPr>
          <w:spacing w:val="-4"/>
          <w:sz w:val="21"/>
          <w:szCs w:val="21"/>
        </w:rPr>
        <w:t>工程设计服务阶段：方案设计、初步设计（含概算）、施工图设计及施工图预算编制及项目</w:t>
      </w:r>
      <w:r>
        <w:rPr>
          <w:sz w:val="21"/>
          <w:szCs w:val="21"/>
        </w:rPr>
        <w:t>全过程的技术服务、施工阶段至竣工验收期间的设计</w:t>
      </w:r>
      <w:r>
        <w:rPr>
          <w:spacing w:val="-1"/>
          <w:sz w:val="21"/>
          <w:szCs w:val="21"/>
        </w:rPr>
        <w:t>服务。</w:t>
      </w:r>
    </w:p>
    <w:p>
      <w:pPr>
        <w:pStyle w:val="11"/>
        <w:spacing w:before="34" w:line="221" w:lineRule="auto"/>
        <w:ind w:left="442"/>
        <w:rPr>
          <w:sz w:val="21"/>
          <w:szCs w:val="21"/>
        </w:rPr>
      </w:pPr>
      <w:r>
        <w:rPr>
          <w:b/>
          <w:bCs/>
          <w:spacing w:val="-2"/>
          <w:sz w:val="21"/>
          <w:szCs w:val="21"/>
        </w:rPr>
        <w:t>三、各阶段服务内容</w:t>
      </w:r>
    </w:p>
    <w:p>
      <w:pPr>
        <w:pStyle w:val="11"/>
        <w:spacing w:before="156" w:line="345" w:lineRule="auto"/>
        <w:ind w:left="19" w:right="129" w:firstLine="436"/>
        <w:rPr>
          <w:sz w:val="21"/>
          <w:szCs w:val="21"/>
        </w:rPr>
      </w:pPr>
      <w:r>
        <w:rPr>
          <w:sz w:val="21"/>
          <w:szCs w:val="21"/>
        </w:rPr>
        <w:t>1.工程方案设计阶段：编制工程方案设计文本，</w:t>
      </w:r>
      <w:r>
        <w:rPr>
          <w:spacing w:val="-1"/>
          <w:sz w:val="21"/>
          <w:szCs w:val="21"/>
        </w:rPr>
        <w:t>工程方案设计审查会汇报，根据方案审查</w:t>
      </w:r>
      <w:r>
        <w:rPr>
          <w:sz w:val="21"/>
          <w:szCs w:val="21"/>
        </w:rPr>
        <w:t xml:space="preserve"> </w:t>
      </w:r>
      <w:r>
        <w:rPr>
          <w:spacing w:val="-1"/>
          <w:sz w:val="21"/>
          <w:szCs w:val="21"/>
        </w:rPr>
        <w:t>会议纪要完善修改工程设计方案报审批。</w:t>
      </w:r>
    </w:p>
    <w:p>
      <w:pPr>
        <w:pStyle w:val="11"/>
        <w:spacing w:before="33" w:line="351" w:lineRule="auto"/>
        <w:ind w:left="19" w:right="128" w:firstLine="423"/>
        <w:jc w:val="both"/>
        <w:rPr>
          <w:sz w:val="21"/>
          <w:szCs w:val="21"/>
        </w:rPr>
      </w:pPr>
      <w:r>
        <w:rPr>
          <w:sz w:val="21"/>
          <w:szCs w:val="21"/>
        </w:rPr>
        <w:t>2.工程初步设计阶段：根据项目前期方案、工程可行性研究报告（如有）等的</w:t>
      </w:r>
      <w:r>
        <w:rPr>
          <w:spacing w:val="-1"/>
          <w:sz w:val="21"/>
          <w:szCs w:val="21"/>
        </w:rPr>
        <w:t>批复、勘查</w:t>
      </w:r>
      <w:r>
        <w:rPr>
          <w:sz w:val="21"/>
          <w:szCs w:val="21"/>
        </w:rPr>
        <w:t xml:space="preserve"> 资料，编制初步设计文本，初步设计审查会汇报，根据初步设计审查会议纪要修改完善文件报 </w:t>
      </w:r>
      <w:r>
        <w:rPr>
          <w:spacing w:val="-10"/>
          <w:sz w:val="21"/>
          <w:szCs w:val="21"/>
        </w:rPr>
        <w:t>批。</w:t>
      </w:r>
    </w:p>
    <w:p>
      <w:pPr>
        <w:pStyle w:val="11"/>
        <w:spacing w:before="27" w:line="345" w:lineRule="auto"/>
        <w:ind w:left="22" w:right="129" w:firstLine="421"/>
        <w:rPr>
          <w:sz w:val="21"/>
          <w:szCs w:val="21"/>
        </w:rPr>
      </w:pPr>
      <w:r>
        <w:rPr>
          <w:sz w:val="21"/>
          <w:szCs w:val="21"/>
        </w:rPr>
        <w:t>3.工程施工图设计阶段：根据初步设计批复、详勘资料，编制施工图文件</w:t>
      </w:r>
      <w:r>
        <w:rPr>
          <w:spacing w:val="-1"/>
          <w:sz w:val="21"/>
          <w:szCs w:val="21"/>
        </w:rPr>
        <w:t>，根据施工图审</w:t>
      </w:r>
      <w:r>
        <w:rPr>
          <w:sz w:val="21"/>
          <w:szCs w:val="21"/>
        </w:rPr>
        <w:t xml:space="preserve"> </w:t>
      </w:r>
      <w:r>
        <w:rPr>
          <w:spacing w:val="-1"/>
          <w:sz w:val="21"/>
          <w:szCs w:val="21"/>
        </w:rPr>
        <w:t>查机构的意见，完善施工图修订报建设管理部门备案。</w:t>
      </w:r>
    </w:p>
    <w:p>
      <w:pPr>
        <w:pStyle w:val="11"/>
        <w:spacing w:before="31" w:line="221" w:lineRule="auto"/>
        <w:ind w:left="0" w:leftChars="0" w:firstLine="420" w:firstLineChars="200"/>
        <w:rPr>
          <w:sz w:val="21"/>
          <w:szCs w:val="21"/>
        </w:rPr>
        <w:sectPr>
          <w:footerReference r:id="rId12" w:type="default"/>
          <w:pgSz w:w="11907" w:h="16841"/>
          <w:pgMar w:top="400" w:right="1538" w:bottom="1015" w:left="1785" w:header="0" w:footer="851" w:gutter="0"/>
          <w:cols w:space="720" w:num="1"/>
        </w:sectPr>
      </w:pPr>
      <w:r>
        <w:rPr>
          <w:sz w:val="21"/>
          <w:szCs w:val="21"/>
        </w:rPr>
        <w:t>4.工程施工后期服务：项目施工开工前进行技术交底，对施工单位施工前提出的问题进</w:t>
      </w:r>
      <w:r>
        <w:rPr>
          <w:rFonts w:hint="eastAsia"/>
          <w:sz w:val="21"/>
          <w:szCs w:val="21"/>
          <w:lang w:val="en-US" w:eastAsia="zh-CN"/>
        </w:rPr>
        <w:t>行</w:t>
      </w:r>
      <w:r>
        <w:rPr>
          <w:sz w:val="21"/>
          <w:szCs w:val="21"/>
        </w:rPr>
        <w:t>答复，施工期间负责合同范围内的变更设计工作，参与分项工程和重要分部工程的验收工作， 编写竣工设计报告。</w:t>
      </w:r>
    </w:p>
    <w:p>
      <w:pPr>
        <w:spacing w:line="245" w:lineRule="auto"/>
        <w:ind w:left="0" w:leftChars="0" w:firstLine="0" w:firstLineChars="0"/>
        <w:rPr>
          <w:rFonts w:ascii="Arial"/>
          <w:sz w:val="21"/>
        </w:rPr>
      </w:pPr>
    </w:p>
    <w:p>
      <w:pPr>
        <w:spacing w:before="91" w:line="222" w:lineRule="auto"/>
        <w:ind w:left="453"/>
        <w:rPr>
          <w:rFonts w:hint="default" w:ascii="黑体" w:hAnsi="黑体" w:eastAsia="黑体" w:cs="黑体"/>
          <w:sz w:val="28"/>
          <w:szCs w:val="28"/>
          <w:lang w:val="en-US" w:eastAsia="zh-CN"/>
        </w:rPr>
      </w:pPr>
      <w:r>
        <w:rPr>
          <w:rFonts w:hint="eastAsia" w:ascii="黑体" w:hAnsi="黑体" w:eastAsia="黑体" w:cs="黑体"/>
          <w:sz w:val="28"/>
          <w:szCs w:val="28"/>
          <w:lang w:val="en-US" w:eastAsia="zh-CN"/>
        </w:rPr>
        <w:t>附件2：</w:t>
      </w:r>
    </w:p>
    <w:p>
      <w:pPr>
        <w:spacing w:before="204" w:line="218" w:lineRule="auto"/>
        <w:ind w:left="1093"/>
        <w:rPr>
          <w:rFonts w:ascii="黑体" w:hAnsi="黑体" w:eastAsia="黑体" w:cs="黑体"/>
          <w:sz w:val="24"/>
          <w:szCs w:val="24"/>
        </w:rPr>
      </w:pPr>
      <w:r>
        <w:rPr>
          <w:rFonts w:ascii="黑体" w:hAnsi="黑体" w:eastAsia="黑体" w:cs="黑体"/>
          <w:spacing w:val="-1"/>
          <w:sz w:val="24"/>
          <w:szCs w:val="24"/>
        </w:rPr>
        <w:t>发包人向设计人提交的有关资料及文件一览表（适用</w:t>
      </w:r>
      <w:r>
        <w:rPr>
          <w:rFonts w:ascii="黑体" w:hAnsi="黑体" w:eastAsia="黑体" w:cs="黑体"/>
          <w:spacing w:val="-2"/>
          <w:sz w:val="24"/>
          <w:szCs w:val="24"/>
        </w:rPr>
        <w:t>于市政工程）</w:t>
      </w:r>
    </w:p>
    <w:p>
      <w:pPr>
        <w:spacing w:line="148" w:lineRule="exact"/>
      </w:pPr>
    </w:p>
    <w:tbl>
      <w:tblPr>
        <w:tblStyle w:val="88"/>
        <w:tblW w:w="890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07"/>
        <w:gridCol w:w="3586"/>
        <w:gridCol w:w="684"/>
        <w:gridCol w:w="2876"/>
        <w:gridCol w:w="114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48" w:hRule="atLeast"/>
        </w:trPr>
        <w:tc>
          <w:tcPr>
            <w:tcW w:w="607" w:type="dxa"/>
            <w:textDirection w:val="tbRlV"/>
            <w:vAlign w:val="top"/>
          </w:tcPr>
          <w:p>
            <w:pPr>
              <w:pStyle w:val="87"/>
              <w:keepNext w:val="0"/>
              <w:keepLines w:val="0"/>
              <w:pageBreakBefore w:val="0"/>
              <w:widowControl/>
              <w:kinsoku/>
              <w:wordWrap/>
              <w:overflowPunct/>
              <w:topLinePunct w:val="0"/>
              <w:autoSpaceDE/>
              <w:autoSpaceDN/>
              <w:bidi w:val="0"/>
              <w:adjustRightInd/>
              <w:snapToGrid/>
              <w:spacing w:before="0" w:line="240" w:lineRule="auto"/>
              <w:ind w:left="0" w:right="0" w:firstLine="0"/>
              <w:jc w:val="center"/>
              <w:textAlignment w:val="auto"/>
              <w:rPr>
                <w:sz w:val="21"/>
                <w:szCs w:val="21"/>
              </w:rPr>
            </w:pPr>
            <w:r>
              <w:rPr>
                <w:b/>
                <w:bCs/>
                <w:spacing w:val="-2"/>
                <w:sz w:val="21"/>
                <w:szCs w:val="21"/>
              </w:rPr>
              <w:t>序号</w:t>
            </w:r>
          </w:p>
        </w:tc>
        <w:tc>
          <w:tcPr>
            <w:tcW w:w="3586" w:type="dxa"/>
            <w:vAlign w:val="top"/>
          </w:tcPr>
          <w:p>
            <w:pPr>
              <w:spacing w:line="428" w:lineRule="auto"/>
              <w:rPr>
                <w:rFonts w:ascii="Arial"/>
                <w:sz w:val="21"/>
              </w:rPr>
            </w:pPr>
          </w:p>
          <w:p>
            <w:pPr>
              <w:pStyle w:val="87"/>
              <w:spacing w:before="68" w:line="221" w:lineRule="auto"/>
              <w:ind w:left="1068"/>
              <w:rPr>
                <w:sz w:val="21"/>
                <w:szCs w:val="21"/>
              </w:rPr>
            </w:pPr>
            <w:r>
              <w:rPr>
                <w:b/>
                <w:bCs/>
                <w:spacing w:val="-4"/>
                <w:sz w:val="21"/>
                <w:szCs w:val="21"/>
              </w:rPr>
              <w:t>资料及文件名称</w:t>
            </w:r>
          </w:p>
        </w:tc>
        <w:tc>
          <w:tcPr>
            <w:tcW w:w="684" w:type="dxa"/>
            <w:vAlign w:val="top"/>
          </w:tcPr>
          <w:p>
            <w:pPr>
              <w:keepNext w:val="0"/>
              <w:keepLines w:val="0"/>
              <w:pageBreakBefore w:val="0"/>
              <w:widowControl/>
              <w:kinsoku/>
              <w:wordWrap/>
              <w:overflowPunct/>
              <w:topLinePunct w:val="0"/>
              <w:autoSpaceDE/>
              <w:autoSpaceDN/>
              <w:bidi w:val="0"/>
              <w:adjustRightInd/>
              <w:snapToGrid/>
              <w:spacing w:before="0" w:line="240" w:lineRule="auto"/>
              <w:ind w:left="0" w:right="0" w:firstLine="0"/>
              <w:jc w:val="center"/>
              <w:textAlignment w:val="auto"/>
              <w:rPr>
                <w:rFonts w:ascii="Arial"/>
                <w:sz w:val="21"/>
              </w:rPr>
            </w:pPr>
          </w:p>
          <w:p>
            <w:pPr>
              <w:pStyle w:val="87"/>
              <w:keepNext w:val="0"/>
              <w:keepLines w:val="0"/>
              <w:pageBreakBefore w:val="0"/>
              <w:widowControl/>
              <w:kinsoku/>
              <w:wordWrap/>
              <w:overflowPunct/>
              <w:topLinePunct w:val="0"/>
              <w:autoSpaceDE/>
              <w:autoSpaceDN/>
              <w:bidi w:val="0"/>
              <w:adjustRightInd/>
              <w:snapToGrid/>
              <w:spacing w:before="68" w:line="240" w:lineRule="auto"/>
              <w:ind w:left="135" w:firstLine="0"/>
              <w:jc w:val="center"/>
              <w:textAlignment w:val="auto"/>
              <w:rPr>
                <w:sz w:val="21"/>
                <w:szCs w:val="21"/>
              </w:rPr>
            </w:pPr>
            <w:r>
              <w:rPr>
                <w:b/>
                <w:bCs/>
                <w:spacing w:val="-4"/>
                <w:sz w:val="21"/>
                <w:szCs w:val="21"/>
              </w:rPr>
              <w:t>份数</w:t>
            </w:r>
          </w:p>
        </w:tc>
        <w:tc>
          <w:tcPr>
            <w:tcW w:w="2876" w:type="dxa"/>
            <w:vAlign w:val="top"/>
          </w:tcPr>
          <w:p>
            <w:pPr>
              <w:spacing w:line="429" w:lineRule="auto"/>
              <w:rPr>
                <w:rFonts w:ascii="Arial"/>
                <w:sz w:val="21"/>
              </w:rPr>
            </w:pPr>
          </w:p>
          <w:p>
            <w:pPr>
              <w:pStyle w:val="87"/>
              <w:spacing w:before="68" w:line="221" w:lineRule="auto"/>
              <w:ind w:left="1022"/>
              <w:rPr>
                <w:sz w:val="21"/>
                <w:szCs w:val="21"/>
              </w:rPr>
            </w:pPr>
            <w:r>
              <w:rPr>
                <w:b/>
                <w:bCs/>
                <w:spacing w:val="-4"/>
                <w:sz w:val="21"/>
                <w:szCs w:val="21"/>
              </w:rPr>
              <w:t>提交日期</w:t>
            </w:r>
          </w:p>
        </w:tc>
        <w:tc>
          <w:tcPr>
            <w:tcW w:w="1149" w:type="dxa"/>
            <w:vAlign w:val="top"/>
          </w:tcPr>
          <w:p>
            <w:pPr>
              <w:keepNext w:val="0"/>
              <w:keepLines w:val="0"/>
              <w:pageBreakBefore w:val="0"/>
              <w:widowControl/>
              <w:kinsoku/>
              <w:wordWrap/>
              <w:overflowPunct/>
              <w:topLinePunct w:val="0"/>
              <w:autoSpaceDE/>
              <w:autoSpaceDN/>
              <w:bidi w:val="0"/>
              <w:adjustRightInd/>
              <w:snapToGrid/>
              <w:spacing w:line="429" w:lineRule="auto"/>
              <w:ind w:right="0" w:firstLine="0"/>
              <w:textAlignment w:val="auto"/>
              <w:rPr>
                <w:rFonts w:ascii="Arial"/>
                <w:sz w:val="21"/>
              </w:rPr>
            </w:pPr>
          </w:p>
          <w:p>
            <w:pPr>
              <w:pStyle w:val="87"/>
              <w:keepNext w:val="0"/>
              <w:keepLines w:val="0"/>
              <w:pageBreakBefore w:val="0"/>
              <w:widowControl/>
              <w:kinsoku/>
              <w:wordWrap/>
              <w:overflowPunct/>
              <w:topLinePunct w:val="0"/>
              <w:autoSpaceDE/>
              <w:autoSpaceDN/>
              <w:bidi w:val="0"/>
              <w:adjustRightInd/>
              <w:snapToGrid/>
              <w:spacing w:before="68" w:line="221" w:lineRule="auto"/>
              <w:ind w:left="160" w:right="0" w:firstLine="0"/>
              <w:textAlignment w:val="auto"/>
              <w:rPr>
                <w:sz w:val="21"/>
                <w:szCs w:val="21"/>
              </w:rPr>
            </w:pPr>
            <w:r>
              <w:rPr>
                <w:b/>
                <w:bCs/>
                <w:spacing w:val="-4"/>
                <w:sz w:val="21"/>
                <w:szCs w:val="21"/>
              </w:rPr>
              <w:t>有关事宜</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trPr>
        <w:tc>
          <w:tcPr>
            <w:tcW w:w="607" w:type="dxa"/>
            <w:vAlign w:val="top"/>
          </w:tcPr>
          <w:p>
            <w:pPr>
              <w:spacing w:before="146" w:line="179" w:lineRule="auto"/>
              <w:ind w:left="264"/>
              <w:rPr>
                <w:rFonts w:ascii="Calibri" w:hAnsi="Calibri" w:eastAsia="Calibri" w:cs="Calibri"/>
                <w:sz w:val="21"/>
                <w:szCs w:val="21"/>
              </w:rPr>
            </w:pPr>
            <w:r>
              <w:rPr>
                <w:rFonts w:ascii="Calibri" w:hAnsi="Calibri" w:eastAsia="Calibri" w:cs="Calibri"/>
                <w:sz w:val="21"/>
                <w:szCs w:val="21"/>
              </w:rPr>
              <w:t>1</w:t>
            </w:r>
          </w:p>
        </w:tc>
        <w:tc>
          <w:tcPr>
            <w:tcW w:w="3586" w:type="dxa"/>
            <w:vAlign w:val="top"/>
          </w:tcPr>
          <w:p>
            <w:pPr>
              <w:pStyle w:val="87"/>
              <w:spacing w:before="99" w:line="219" w:lineRule="auto"/>
              <w:ind w:left="114"/>
              <w:rPr>
                <w:sz w:val="21"/>
                <w:szCs w:val="21"/>
              </w:rPr>
            </w:pPr>
            <w:r>
              <w:rPr>
                <w:spacing w:val="-1"/>
                <w:sz w:val="21"/>
                <w:szCs w:val="21"/>
              </w:rPr>
              <w:t>项目立项报告和审批文件</w:t>
            </w:r>
          </w:p>
        </w:tc>
        <w:tc>
          <w:tcPr>
            <w:tcW w:w="684" w:type="dxa"/>
            <w:vAlign w:val="top"/>
          </w:tcPr>
          <w:p>
            <w:pPr>
              <w:pStyle w:val="87"/>
              <w:spacing w:before="100" w:line="221" w:lineRule="auto"/>
              <w:ind w:left="116"/>
              <w:rPr>
                <w:rFonts w:ascii="Calibri" w:hAnsi="Calibri" w:eastAsia="Calibri" w:cs="Calibri"/>
                <w:sz w:val="21"/>
                <w:szCs w:val="21"/>
              </w:rPr>
            </w:pPr>
            <w:r>
              <w:rPr>
                <w:spacing w:val="-5"/>
                <w:sz w:val="21"/>
                <w:szCs w:val="21"/>
              </w:rPr>
              <w:t>各</w:t>
            </w:r>
            <w:r>
              <w:rPr>
                <w:spacing w:val="-35"/>
                <w:sz w:val="21"/>
                <w:szCs w:val="21"/>
              </w:rPr>
              <w:t xml:space="preserve"> </w:t>
            </w:r>
            <w:r>
              <w:rPr>
                <w:rFonts w:ascii="Calibri" w:hAnsi="Calibri" w:eastAsia="Calibri" w:cs="Calibri"/>
                <w:spacing w:val="-5"/>
                <w:sz w:val="21"/>
                <w:szCs w:val="21"/>
              </w:rPr>
              <w:t>1</w:t>
            </w:r>
          </w:p>
        </w:tc>
        <w:tc>
          <w:tcPr>
            <w:tcW w:w="2876" w:type="dxa"/>
            <w:vAlign w:val="top"/>
          </w:tcPr>
          <w:p>
            <w:pPr>
              <w:pStyle w:val="87"/>
              <w:spacing w:before="100" w:line="221" w:lineRule="auto"/>
              <w:ind w:left="112"/>
              <w:rPr>
                <w:sz w:val="21"/>
                <w:szCs w:val="21"/>
              </w:rPr>
            </w:pPr>
            <w:r>
              <w:rPr>
                <w:spacing w:val="-3"/>
                <w:sz w:val="21"/>
                <w:szCs w:val="21"/>
              </w:rPr>
              <w:t>方案设计开始</w:t>
            </w:r>
            <w:r>
              <w:rPr>
                <w:spacing w:val="-41"/>
                <w:sz w:val="21"/>
                <w:szCs w:val="21"/>
              </w:rPr>
              <w:t xml:space="preserve"> </w:t>
            </w:r>
            <w:r>
              <w:rPr>
                <w:rFonts w:ascii="Calibri" w:hAnsi="Calibri" w:eastAsia="Calibri" w:cs="Calibri"/>
                <w:spacing w:val="-3"/>
                <w:sz w:val="21"/>
                <w:szCs w:val="21"/>
              </w:rPr>
              <w:t>3</w:t>
            </w:r>
            <w:r>
              <w:rPr>
                <w:rFonts w:ascii="Calibri" w:hAnsi="Calibri" w:eastAsia="Calibri" w:cs="Calibri"/>
                <w:spacing w:val="18"/>
                <w:w w:val="101"/>
                <w:sz w:val="21"/>
                <w:szCs w:val="21"/>
              </w:rPr>
              <w:t xml:space="preserve"> </w:t>
            </w:r>
            <w:r>
              <w:rPr>
                <w:spacing w:val="-3"/>
                <w:sz w:val="21"/>
                <w:szCs w:val="21"/>
              </w:rPr>
              <w:t>天前</w:t>
            </w:r>
          </w:p>
        </w:tc>
        <w:tc>
          <w:tcPr>
            <w:tcW w:w="1149" w:type="dxa"/>
            <w:vMerge w:val="restart"/>
            <w:tcBorders>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1" w:hRule="atLeast"/>
        </w:trPr>
        <w:tc>
          <w:tcPr>
            <w:tcW w:w="607" w:type="dxa"/>
            <w:vAlign w:val="top"/>
          </w:tcPr>
          <w:p>
            <w:pPr>
              <w:spacing w:before="279" w:line="180" w:lineRule="auto"/>
              <w:ind w:left="258"/>
              <w:rPr>
                <w:rFonts w:ascii="Calibri" w:hAnsi="Calibri" w:eastAsia="Calibri" w:cs="Calibri"/>
                <w:sz w:val="21"/>
                <w:szCs w:val="21"/>
              </w:rPr>
            </w:pPr>
            <w:r>
              <w:rPr>
                <w:rFonts w:ascii="Calibri" w:hAnsi="Calibri" w:eastAsia="Calibri" w:cs="Calibri"/>
                <w:sz w:val="21"/>
                <w:szCs w:val="21"/>
              </w:rPr>
              <w:t>2</w:t>
            </w:r>
          </w:p>
        </w:tc>
        <w:tc>
          <w:tcPr>
            <w:tcW w:w="3586" w:type="dxa"/>
            <w:vAlign w:val="top"/>
          </w:tcPr>
          <w:p>
            <w:pPr>
              <w:pStyle w:val="87"/>
              <w:spacing w:before="30" w:line="343" w:lineRule="auto"/>
              <w:ind w:left="112" w:right="28" w:firstLine="2"/>
              <w:rPr>
                <w:sz w:val="21"/>
                <w:szCs w:val="21"/>
              </w:rPr>
            </w:pPr>
            <w:r>
              <w:rPr>
                <w:spacing w:val="-8"/>
                <w:sz w:val="21"/>
                <w:szCs w:val="21"/>
              </w:rPr>
              <w:t>发包人要求即设计任务书（含对工艺、</w:t>
            </w:r>
            <w:r>
              <w:rPr>
                <w:spacing w:val="2"/>
                <w:sz w:val="21"/>
                <w:szCs w:val="21"/>
              </w:rPr>
              <w:t xml:space="preserve"> </w:t>
            </w:r>
            <w:r>
              <w:rPr>
                <w:spacing w:val="-2"/>
                <w:sz w:val="21"/>
                <w:szCs w:val="21"/>
              </w:rPr>
              <w:t>土建、设备等专业的具体要求）</w:t>
            </w:r>
          </w:p>
        </w:tc>
        <w:tc>
          <w:tcPr>
            <w:tcW w:w="684" w:type="dxa"/>
            <w:vAlign w:val="top"/>
          </w:tcPr>
          <w:p>
            <w:pPr>
              <w:spacing w:before="281" w:line="179" w:lineRule="auto"/>
              <w:ind w:left="123"/>
              <w:rPr>
                <w:rFonts w:ascii="Calibri" w:hAnsi="Calibri" w:eastAsia="Calibri" w:cs="Calibri"/>
                <w:sz w:val="21"/>
                <w:szCs w:val="21"/>
              </w:rPr>
            </w:pPr>
            <w:r>
              <w:rPr>
                <w:rFonts w:ascii="Calibri" w:hAnsi="Calibri" w:eastAsia="Calibri" w:cs="Calibri"/>
                <w:sz w:val="21"/>
                <w:szCs w:val="21"/>
              </w:rPr>
              <w:t>1</w:t>
            </w:r>
          </w:p>
        </w:tc>
        <w:tc>
          <w:tcPr>
            <w:tcW w:w="2876" w:type="dxa"/>
            <w:vAlign w:val="top"/>
          </w:tcPr>
          <w:p>
            <w:pPr>
              <w:pStyle w:val="87"/>
              <w:spacing w:before="233" w:line="221" w:lineRule="auto"/>
              <w:ind w:left="111"/>
              <w:rPr>
                <w:sz w:val="21"/>
                <w:szCs w:val="21"/>
              </w:rPr>
            </w:pPr>
            <w:r>
              <w:rPr>
                <w:spacing w:val="-3"/>
                <w:sz w:val="21"/>
                <w:szCs w:val="21"/>
              </w:rPr>
              <w:t>初步设计开始</w:t>
            </w:r>
            <w:r>
              <w:rPr>
                <w:spacing w:val="-40"/>
                <w:sz w:val="21"/>
                <w:szCs w:val="21"/>
              </w:rPr>
              <w:t xml:space="preserve"> </w:t>
            </w:r>
            <w:r>
              <w:rPr>
                <w:rFonts w:ascii="Calibri" w:hAnsi="Calibri" w:eastAsia="Calibri" w:cs="Calibri"/>
                <w:spacing w:val="-3"/>
                <w:sz w:val="21"/>
                <w:szCs w:val="21"/>
              </w:rPr>
              <w:t>3</w:t>
            </w:r>
            <w:r>
              <w:rPr>
                <w:rFonts w:ascii="Calibri" w:hAnsi="Calibri" w:eastAsia="Calibri" w:cs="Calibri"/>
                <w:spacing w:val="19"/>
                <w:w w:val="101"/>
                <w:sz w:val="21"/>
                <w:szCs w:val="21"/>
              </w:rPr>
              <w:t xml:space="preserve"> </w:t>
            </w:r>
            <w:r>
              <w:rPr>
                <w:spacing w:val="-3"/>
                <w:sz w:val="21"/>
                <w:szCs w:val="21"/>
              </w:rPr>
              <w:t>天前</w:t>
            </w:r>
          </w:p>
        </w:tc>
        <w:tc>
          <w:tcPr>
            <w:tcW w:w="1149"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2" w:hRule="atLeast"/>
        </w:trPr>
        <w:tc>
          <w:tcPr>
            <w:tcW w:w="607" w:type="dxa"/>
            <w:vAlign w:val="top"/>
          </w:tcPr>
          <w:p>
            <w:pPr>
              <w:spacing w:before="283" w:line="179" w:lineRule="auto"/>
              <w:ind w:left="257"/>
              <w:rPr>
                <w:rFonts w:ascii="Calibri" w:hAnsi="Calibri" w:eastAsia="Calibri" w:cs="Calibri"/>
                <w:sz w:val="21"/>
                <w:szCs w:val="21"/>
              </w:rPr>
            </w:pPr>
            <w:r>
              <w:rPr>
                <w:rFonts w:ascii="Calibri" w:hAnsi="Calibri" w:eastAsia="Calibri" w:cs="Calibri"/>
                <w:sz w:val="21"/>
                <w:szCs w:val="21"/>
              </w:rPr>
              <w:t>3</w:t>
            </w:r>
          </w:p>
        </w:tc>
        <w:tc>
          <w:tcPr>
            <w:tcW w:w="3586" w:type="dxa"/>
            <w:vAlign w:val="top"/>
          </w:tcPr>
          <w:p>
            <w:pPr>
              <w:pStyle w:val="87"/>
              <w:spacing w:before="31" w:line="343" w:lineRule="auto"/>
              <w:ind w:left="115" w:right="103" w:hanging="2"/>
              <w:rPr>
                <w:sz w:val="21"/>
                <w:szCs w:val="21"/>
              </w:rPr>
            </w:pPr>
            <w:r>
              <w:rPr>
                <w:sz w:val="21"/>
                <w:szCs w:val="21"/>
              </w:rPr>
              <w:t>厂址选择报告、土地使用协议、建筑</w:t>
            </w:r>
            <w:r>
              <w:rPr>
                <w:spacing w:val="2"/>
                <w:sz w:val="21"/>
                <w:szCs w:val="21"/>
              </w:rPr>
              <w:t xml:space="preserve"> </w:t>
            </w:r>
            <w:r>
              <w:rPr>
                <w:spacing w:val="-2"/>
                <w:sz w:val="21"/>
                <w:szCs w:val="21"/>
              </w:rPr>
              <w:t>红线图，建筑钉桩图</w:t>
            </w:r>
          </w:p>
        </w:tc>
        <w:tc>
          <w:tcPr>
            <w:tcW w:w="684" w:type="dxa"/>
            <w:vAlign w:val="top"/>
          </w:tcPr>
          <w:p>
            <w:pPr>
              <w:pStyle w:val="87"/>
              <w:spacing w:before="237" w:line="221" w:lineRule="auto"/>
              <w:ind w:left="116"/>
              <w:rPr>
                <w:rFonts w:ascii="Calibri" w:hAnsi="Calibri" w:eastAsia="Calibri" w:cs="Calibri"/>
                <w:sz w:val="21"/>
                <w:szCs w:val="21"/>
              </w:rPr>
            </w:pPr>
            <w:r>
              <w:rPr>
                <w:spacing w:val="-5"/>
                <w:sz w:val="21"/>
                <w:szCs w:val="21"/>
              </w:rPr>
              <w:t>各</w:t>
            </w:r>
            <w:r>
              <w:rPr>
                <w:spacing w:val="-35"/>
                <w:sz w:val="21"/>
                <w:szCs w:val="21"/>
              </w:rPr>
              <w:t xml:space="preserve"> </w:t>
            </w:r>
            <w:r>
              <w:rPr>
                <w:rFonts w:ascii="Calibri" w:hAnsi="Calibri" w:eastAsia="Calibri" w:cs="Calibri"/>
                <w:spacing w:val="-5"/>
                <w:sz w:val="21"/>
                <w:szCs w:val="21"/>
              </w:rPr>
              <w:t>1</w:t>
            </w:r>
          </w:p>
        </w:tc>
        <w:tc>
          <w:tcPr>
            <w:tcW w:w="2876" w:type="dxa"/>
            <w:vAlign w:val="top"/>
          </w:tcPr>
          <w:p>
            <w:pPr>
              <w:pStyle w:val="87"/>
              <w:spacing w:before="236" w:line="221" w:lineRule="auto"/>
              <w:ind w:left="111"/>
              <w:rPr>
                <w:sz w:val="21"/>
                <w:szCs w:val="21"/>
              </w:rPr>
            </w:pPr>
            <w:r>
              <w:rPr>
                <w:spacing w:val="-3"/>
                <w:sz w:val="21"/>
                <w:szCs w:val="21"/>
              </w:rPr>
              <w:t>初步设计开始</w:t>
            </w:r>
            <w:r>
              <w:rPr>
                <w:spacing w:val="-40"/>
                <w:sz w:val="21"/>
                <w:szCs w:val="21"/>
              </w:rPr>
              <w:t xml:space="preserve"> </w:t>
            </w:r>
            <w:r>
              <w:rPr>
                <w:rFonts w:ascii="Calibri" w:hAnsi="Calibri" w:eastAsia="Calibri" w:cs="Calibri"/>
                <w:spacing w:val="-3"/>
                <w:sz w:val="21"/>
                <w:szCs w:val="21"/>
              </w:rPr>
              <w:t>3</w:t>
            </w:r>
            <w:r>
              <w:rPr>
                <w:rFonts w:ascii="Calibri" w:hAnsi="Calibri" w:eastAsia="Calibri" w:cs="Calibri"/>
                <w:spacing w:val="19"/>
                <w:w w:val="101"/>
                <w:sz w:val="21"/>
                <w:szCs w:val="21"/>
              </w:rPr>
              <w:t xml:space="preserve"> </w:t>
            </w:r>
            <w:r>
              <w:rPr>
                <w:spacing w:val="-3"/>
                <w:sz w:val="21"/>
                <w:szCs w:val="21"/>
              </w:rPr>
              <w:t>天前</w:t>
            </w:r>
          </w:p>
        </w:tc>
        <w:tc>
          <w:tcPr>
            <w:tcW w:w="1149"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trPr>
        <w:tc>
          <w:tcPr>
            <w:tcW w:w="607" w:type="dxa"/>
            <w:vAlign w:val="top"/>
          </w:tcPr>
          <w:p>
            <w:pPr>
              <w:spacing w:before="148" w:line="178" w:lineRule="auto"/>
              <w:ind w:left="251"/>
              <w:rPr>
                <w:rFonts w:ascii="Calibri" w:hAnsi="Calibri" w:eastAsia="Calibri" w:cs="Calibri"/>
                <w:sz w:val="21"/>
                <w:szCs w:val="21"/>
              </w:rPr>
            </w:pPr>
            <w:r>
              <w:rPr>
                <w:rFonts w:ascii="Calibri" w:hAnsi="Calibri" w:eastAsia="Calibri" w:cs="Calibri"/>
                <w:sz w:val="21"/>
                <w:szCs w:val="21"/>
              </w:rPr>
              <w:t>4</w:t>
            </w:r>
          </w:p>
        </w:tc>
        <w:tc>
          <w:tcPr>
            <w:tcW w:w="3586" w:type="dxa"/>
            <w:vAlign w:val="top"/>
          </w:tcPr>
          <w:p>
            <w:pPr>
              <w:pStyle w:val="87"/>
              <w:keepNext w:val="0"/>
              <w:keepLines w:val="0"/>
              <w:pageBreakBefore w:val="0"/>
              <w:widowControl/>
              <w:kinsoku/>
              <w:wordWrap/>
              <w:overflowPunct/>
              <w:topLinePunct w:val="0"/>
              <w:autoSpaceDE/>
              <w:autoSpaceDN/>
              <w:bidi w:val="0"/>
              <w:adjustRightInd/>
              <w:snapToGrid/>
              <w:spacing w:before="0" w:after="0" w:afterAutospacing="0" w:line="221" w:lineRule="auto"/>
              <w:ind w:left="0" w:right="0" w:firstLine="0"/>
              <w:jc w:val="both"/>
              <w:textAlignment w:val="auto"/>
              <w:rPr>
                <w:spacing w:val="-2"/>
                <w:sz w:val="21"/>
                <w:szCs w:val="21"/>
              </w:rPr>
            </w:pPr>
          </w:p>
          <w:p>
            <w:pPr>
              <w:pStyle w:val="87"/>
              <w:keepNext w:val="0"/>
              <w:keepLines w:val="0"/>
              <w:pageBreakBefore w:val="0"/>
              <w:widowControl/>
              <w:kinsoku/>
              <w:wordWrap/>
              <w:overflowPunct/>
              <w:topLinePunct w:val="0"/>
              <w:autoSpaceDE/>
              <w:autoSpaceDN/>
              <w:bidi w:val="0"/>
              <w:adjustRightInd/>
              <w:snapToGrid/>
              <w:spacing w:before="0" w:after="0" w:afterAutospacing="0" w:line="221" w:lineRule="auto"/>
              <w:ind w:left="0" w:right="0" w:firstLine="0"/>
              <w:jc w:val="both"/>
              <w:textAlignment w:val="auto"/>
              <w:rPr>
                <w:sz w:val="21"/>
                <w:szCs w:val="21"/>
              </w:rPr>
            </w:pPr>
            <w:r>
              <w:rPr>
                <w:spacing w:val="-2"/>
                <w:sz w:val="21"/>
                <w:szCs w:val="21"/>
              </w:rPr>
              <w:t>当地规划部门的规划意见书</w:t>
            </w:r>
          </w:p>
        </w:tc>
        <w:tc>
          <w:tcPr>
            <w:tcW w:w="684" w:type="dxa"/>
            <w:vAlign w:val="top"/>
          </w:tcPr>
          <w:p>
            <w:pPr>
              <w:spacing w:before="147" w:line="179" w:lineRule="auto"/>
              <w:ind w:left="123"/>
              <w:rPr>
                <w:rFonts w:ascii="Calibri" w:hAnsi="Calibri" w:eastAsia="Calibri" w:cs="Calibri"/>
                <w:sz w:val="21"/>
                <w:szCs w:val="21"/>
              </w:rPr>
            </w:pPr>
            <w:r>
              <w:rPr>
                <w:rFonts w:ascii="Calibri" w:hAnsi="Calibri" w:eastAsia="Calibri" w:cs="Calibri"/>
                <w:sz w:val="21"/>
                <w:szCs w:val="21"/>
              </w:rPr>
              <w:t>1</w:t>
            </w:r>
          </w:p>
        </w:tc>
        <w:tc>
          <w:tcPr>
            <w:tcW w:w="2876" w:type="dxa"/>
            <w:vAlign w:val="top"/>
          </w:tcPr>
          <w:p>
            <w:pPr>
              <w:pStyle w:val="87"/>
              <w:spacing w:before="100" w:line="221" w:lineRule="auto"/>
              <w:ind w:left="111"/>
              <w:rPr>
                <w:sz w:val="21"/>
                <w:szCs w:val="21"/>
              </w:rPr>
            </w:pPr>
            <w:r>
              <w:rPr>
                <w:spacing w:val="-3"/>
                <w:sz w:val="21"/>
                <w:szCs w:val="21"/>
              </w:rPr>
              <w:t>初步设计开始</w:t>
            </w:r>
            <w:r>
              <w:rPr>
                <w:spacing w:val="-40"/>
                <w:sz w:val="21"/>
                <w:szCs w:val="21"/>
              </w:rPr>
              <w:t xml:space="preserve"> </w:t>
            </w:r>
            <w:r>
              <w:rPr>
                <w:rFonts w:ascii="Calibri" w:hAnsi="Calibri" w:eastAsia="Calibri" w:cs="Calibri"/>
                <w:spacing w:val="-3"/>
                <w:sz w:val="21"/>
                <w:szCs w:val="21"/>
              </w:rPr>
              <w:t>3</w:t>
            </w:r>
            <w:r>
              <w:rPr>
                <w:rFonts w:ascii="Calibri" w:hAnsi="Calibri" w:eastAsia="Calibri" w:cs="Calibri"/>
                <w:spacing w:val="19"/>
                <w:w w:val="101"/>
                <w:sz w:val="21"/>
                <w:szCs w:val="21"/>
              </w:rPr>
              <w:t xml:space="preserve"> </w:t>
            </w:r>
            <w:r>
              <w:rPr>
                <w:spacing w:val="-3"/>
                <w:sz w:val="21"/>
                <w:szCs w:val="21"/>
              </w:rPr>
              <w:t>天前</w:t>
            </w:r>
          </w:p>
        </w:tc>
        <w:tc>
          <w:tcPr>
            <w:tcW w:w="1149"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0" w:hRule="atLeast"/>
        </w:trPr>
        <w:tc>
          <w:tcPr>
            <w:tcW w:w="607" w:type="dxa"/>
            <w:vAlign w:val="top"/>
          </w:tcPr>
          <w:p>
            <w:pPr>
              <w:spacing w:before="283" w:line="178" w:lineRule="auto"/>
              <w:ind w:left="257"/>
              <w:rPr>
                <w:rFonts w:ascii="Calibri" w:hAnsi="Calibri" w:eastAsia="Calibri" w:cs="Calibri"/>
                <w:sz w:val="21"/>
                <w:szCs w:val="21"/>
              </w:rPr>
            </w:pPr>
            <w:r>
              <w:rPr>
                <w:rFonts w:ascii="Calibri" w:hAnsi="Calibri" w:eastAsia="Calibri" w:cs="Calibri"/>
                <w:sz w:val="21"/>
                <w:szCs w:val="21"/>
              </w:rPr>
              <w:t>5</w:t>
            </w:r>
          </w:p>
        </w:tc>
        <w:tc>
          <w:tcPr>
            <w:tcW w:w="3586" w:type="dxa"/>
            <w:vAlign w:val="top"/>
          </w:tcPr>
          <w:p>
            <w:pPr>
              <w:pStyle w:val="87"/>
              <w:spacing w:before="31" w:line="342" w:lineRule="auto"/>
              <w:ind w:left="113" w:right="103" w:firstLine="32"/>
              <w:rPr>
                <w:sz w:val="21"/>
                <w:szCs w:val="21"/>
              </w:rPr>
            </w:pPr>
            <w:r>
              <w:rPr>
                <w:spacing w:val="-2"/>
                <w:sz w:val="21"/>
                <w:szCs w:val="21"/>
              </w:rPr>
              <w:t>自然资源、气象条件、地形地貌、水</w:t>
            </w:r>
            <w:r>
              <w:rPr>
                <w:spacing w:val="2"/>
                <w:sz w:val="21"/>
                <w:szCs w:val="21"/>
              </w:rPr>
              <w:t xml:space="preserve"> </w:t>
            </w:r>
            <w:r>
              <w:rPr>
                <w:spacing w:val="-1"/>
                <w:sz w:val="21"/>
                <w:szCs w:val="21"/>
              </w:rPr>
              <w:t>文及工程详细地质勘察报告</w:t>
            </w:r>
          </w:p>
        </w:tc>
        <w:tc>
          <w:tcPr>
            <w:tcW w:w="684" w:type="dxa"/>
            <w:vAlign w:val="top"/>
          </w:tcPr>
          <w:p>
            <w:pPr>
              <w:pStyle w:val="87"/>
              <w:spacing w:before="236" w:line="221" w:lineRule="auto"/>
              <w:ind w:left="116"/>
              <w:rPr>
                <w:rFonts w:ascii="Calibri" w:hAnsi="Calibri" w:eastAsia="Calibri" w:cs="Calibri"/>
                <w:sz w:val="21"/>
                <w:szCs w:val="21"/>
              </w:rPr>
            </w:pPr>
            <w:r>
              <w:rPr>
                <w:spacing w:val="-5"/>
                <w:sz w:val="21"/>
                <w:szCs w:val="21"/>
              </w:rPr>
              <w:t>各</w:t>
            </w:r>
            <w:r>
              <w:rPr>
                <w:spacing w:val="-35"/>
                <w:sz w:val="21"/>
                <w:szCs w:val="21"/>
              </w:rPr>
              <w:t xml:space="preserve"> </w:t>
            </w:r>
            <w:r>
              <w:rPr>
                <w:rFonts w:ascii="Calibri" w:hAnsi="Calibri" w:eastAsia="Calibri" w:cs="Calibri"/>
                <w:spacing w:val="-5"/>
                <w:sz w:val="21"/>
                <w:szCs w:val="21"/>
              </w:rPr>
              <w:t>1</w:t>
            </w:r>
          </w:p>
        </w:tc>
        <w:tc>
          <w:tcPr>
            <w:tcW w:w="2876" w:type="dxa"/>
            <w:vAlign w:val="top"/>
          </w:tcPr>
          <w:p>
            <w:pPr>
              <w:pStyle w:val="87"/>
              <w:spacing w:before="235" w:line="221" w:lineRule="auto"/>
              <w:ind w:left="111"/>
              <w:rPr>
                <w:sz w:val="21"/>
                <w:szCs w:val="21"/>
              </w:rPr>
            </w:pPr>
            <w:r>
              <w:rPr>
                <w:spacing w:val="-3"/>
                <w:sz w:val="21"/>
                <w:szCs w:val="21"/>
              </w:rPr>
              <w:t>初步设计开始</w:t>
            </w:r>
            <w:r>
              <w:rPr>
                <w:spacing w:val="-40"/>
                <w:sz w:val="21"/>
                <w:szCs w:val="21"/>
              </w:rPr>
              <w:t xml:space="preserve"> </w:t>
            </w:r>
            <w:r>
              <w:rPr>
                <w:rFonts w:ascii="Calibri" w:hAnsi="Calibri" w:eastAsia="Calibri" w:cs="Calibri"/>
                <w:spacing w:val="-3"/>
                <w:sz w:val="21"/>
                <w:szCs w:val="21"/>
              </w:rPr>
              <w:t>3</w:t>
            </w:r>
            <w:r>
              <w:rPr>
                <w:rFonts w:ascii="Calibri" w:hAnsi="Calibri" w:eastAsia="Calibri" w:cs="Calibri"/>
                <w:spacing w:val="19"/>
                <w:w w:val="101"/>
                <w:sz w:val="21"/>
                <w:szCs w:val="21"/>
              </w:rPr>
              <w:t xml:space="preserve"> </w:t>
            </w:r>
            <w:r>
              <w:rPr>
                <w:spacing w:val="-3"/>
                <w:sz w:val="21"/>
                <w:szCs w:val="21"/>
              </w:rPr>
              <w:t>天前</w:t>
            </w:r>
          </w:p>
        </w:tc>
        <w:tc>
          <w:tcPr>
            <w:tcW w:w="1149"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3" w:hRule="atLeast"/>
        </w:trPr>
        <w:tc>
          <w:tcPr>
            <w:tcW w:w="607" w:type="dxa"/>
            <w:vAlign w:val="top"/>
          </w:tcPr>
          <w:p>
            <w:pPr>
              <w:spacing w:before="285" w:line="179" w:lineRule="auto"/>
              <w:ind w:left="257"/>
              <w:rPr>
                <w:rFonts w:ascii="Calibri" w:hAnsi="Calibri" w:eastAsia="Calibri" w:cs="Calibri"/>
                <w:sz w:val="21"/>
                <w:szCs w:val="21"/>
              </w:rPr>
            </w:pPr>
            <w:r>
              <w:rPr>
                <w:rFonts w:ascii="Calibri" w:hAnsi="Calibri" w:eastAsia="Calibri" w:cs="Calibri"/>
                <w:sz w:val="21"/>
                <w:szCs w:val="21"/>
              </w:rPr>
              <w:t>6</w:t>
            </w:r>
          </w:p>
        </w:tc>
        <w:tc>
          <w:tcPr>
            <w:tcW w:w="3586" w:type="dxa"/>
            <w:vAlign w:val="top"/>
          </w:tcPr>
          <w:p>
            <w:pPr>
              <w:pStyle w:val="87"/>
              <w:spacing w:before="238" w:line="221" w:lineRule="auto"/>
              <w:ind w:left="113"/>
              <w:rPr>
                <w:sz w:val="21"/>
                <w:szCs w:val="21"/>
              </w:rPr>
            </w:pPr>
            <w:r>
              <w:rPr>
                <w:spacing w:val="-1"/>
                <w:sz w:val="21"/>
                <w:szCs w:val="21"/>
              </w:rPr>
              <w:t>各阶段主管部门的审批意见</w:t>
            </w:r>
          </w:p>
        </w:tc>
        <w:tc>
          <w:tcPr>
            <w:tcW w:w="684" w:type="dxa"/>
            <w:vAlign w:val="top"/>
          </w:tcPr>
          <w:p>
            <w:pPr>
              <w:pStyle w:val="87"/>
              <w:spacing w:before="239" w:line="221" w:lineRule="auto"/>
              <w:ind w:left="116"/>
              <w:rPr>
                <w:rFonts w:ascii="Calibri" w:hAnsi="Calibri" w:eastAsia="Calibri" w:cs="Calibri"/>
                <w:sz w:val="21"/>
                <w:szCs w:val="21"/>
              </w:rPr>
            </w:pPr>
            <w:r>
              <w:rPr>
                <w:spacing w:val="-5"/>
                <w:sz w:val="21"/>
                <w:szCs w:val="21"/>
              </w:rPr>
              <w:t>各</w:t>
            </w:r>
            <w:r>
              <w:rPr>
                <w:spacing w:val="-35"/>
                <w:sz w:val="21"/>
                <w:szCs w:val="21"/>
              </w:rPr>
              <w:t xml:space="preserve"> </w:t>
            </w:r>
            <w:r>
              <w:rPr>
                <w:rFonts w:ascii="Calibri" w:hAnsi="Calibri" w:eastAsia="Calibri" w:cs="Calibri"/>
                <w:spacing w:val="-5"/>
                <w:sz w:val="21"/>
                <w:szCs w:val="21"/>
              </w:rPr>
              <w:t>1</w:t>
            </w:r>
          </w:p>
        </w:tc>
        <w:tc>
          <w:tcPr>
            <w:tcW w:w="2876" w:type="dxa"/>
            <w:vAlign w:val="top"/>
          </w:tcPr>
          <w:p>
            <w:pPr>
              <w:pStyle w:val="87"/>
              <w:spacing w:before="34" w:line="342" w:lineRule="auto"/>
              <w:ind w:left="112" w:right="102" w:firstLine="5"/>
              <w:rPr>
                <w:sz w:val="21"/>
                <w:szCs w:val="21"/>
              </w:rPr>
            </w:pPr>
            <w:r>
              <w:rPr>
                <w:sz w:val="21"/>
                <w:szCs w:val="21"/>
              </w:rPr>
              <w:t xml:space="preserve">下一个阶段设计开始 </w:t>
            </w:r>
            <w:r>
              <w:rPr>
                <w:rFonts w:ascii="Calibri" w:hAnsi="Calibri" w:eastAsia="Calibri" w:cs="Calibri"/>
                <w:sz w:val="21"/>
                <w:szCs w:val="21"/>
              </w:rPr>
              <w:t>3</w:t>
            </w:r>
            <w:r>
              <w:rPr>
                <w:rFonts w:ascii="Calibri" w:hAnsi="Calibri" w:eastAsia="Calibri" w:cs="Calibri"/>
                <w:spacing w:val="16"/>
                <w:sz w:val="21"/>
                <w:szCs w:val="21"/>
              </w:rPr>
              <w:t xml:space="preserve">  </w:t>
            </w:r>
            <w:r>
              <w:rPr>
                <w:sz w:val="21"/>
                <w:szCs w:val="21"/>
              </w:rPr>
              <w:t xml:space="preserve">天前 </w:t>
            </w:r>
            <w:r>
              <w:rPr>
                <w:spacing w:val="-1"/>
                <w:sz w:val="21"/>
                <w:szCs w:val="21"/>
              </w:rPr>
              <w:t>提供上一个阶段审批意见</w:t>
            </w:r>
          </w:p>
        </w:tc>
        <w:tc>
          <w:tcPr>
            <w:tcW w:w="1149"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3" w:hRule="atLeast"/>
        </w:trPr>
        <w:tc>
          <w:tcPr>
            <w:tcW w:w="607" w:type="dxa"/>
            <w:vAlign w:val="top"/>
          </w:tcPr>
          <w:p>
            <w:pPr>
              <w:spacing w:before="284" w:line="178" w:lineRule="auto"/>
              <w:ind w:left="257"/>
              <w:rPr>
                <w:rFonts w:ascii="Calibri" w:hAnsi="Calibri" w:eastAsia="Calibri" w:cs="Calibri"/>
                <w:sz w:val="21"/>
                <w:szCs w:val="21"/>
              </w:rPr>
            </w:pPr>
            <w:r>
              <w:rPr>
                <w:rFonts w:ascii="Calibri" w:hAnsi="Calibri" w:eastAsia="Calibri" w:cs="Calibri"/>
                <w:sz w:val="21"/>
                <w:szCs w:val="21"/>
              </w:rPr>
              <w:t>7</w:t>
            </w:r>
          </w:p>
        </w:tc>
        <w:tc>
          <w:tcPr>
            <w:tcW w:w="3586" w:type="dxa"/>
            <w:vAlign w:val="top"/>
          </w:tcPr>
          <w:p>
            <w:pPr>
              <w:pStyle w:val="87"/>
              <w:spacing w:before="32" w:line="343" w:lineRule="auto"/>
              <w:ind w:left="131" w:right="103" w:hanging="21"/>
              <w:rPr>
                <w:sz w:val="21"/>
                <w:szCs w:val="21"/>
              </w:rPr>
            </w:pPr>
            <w:r>
              <w:rPr>
                <w:sz w:val="21"/>
                <w:szCs w:val="21"/>
              </w:rPr>
              <w:t>初步设计确认单（含非标准设备设计</w:t>
            </w:r>
            <w:r>
              <w:rPr>
                <w:spacing w:val="6"/>
                <w:sz w:val="21"/>
                <w:szCs w:val="21"/>
              </w:rPr>
              <w:t xml:space="preserve"> </w:t>
            </w:r>
            <w:r>
              <w:rPr>
                <w:spacing w:val="-7"/>
                <w:sz w:val="21"/>
                <w:szCs w:val="21"/>
              </w:rPr>
              <w:t>图开工令）</w:t>
            </w:r>
          </w:p>
        </w:tc>
        <w:tc>
          <w:tcPr>
            <w:tcW w:w="684" w:type="dxa"/>
            <w:vAlign w:val="top"/>
          </w:tcPr>
          <w:p>
            <w:pPr>
              <w:spacing w:before="283" w:line="179" w:lineRule="auto"/>
              <w:ind w:left="123"/>
              <w:rPr>
                <w:rFonts w:ascii="Calibri" w:hAnsi="Calibri" w:eastAsia="Calibri" w:cs="Calibri"/>
                <w:sz w:val="21"/>
                <w:szCs w:val="21"/>
              </w:rPr>
            </w:pPr>
            <w:r>
              <w:rPr>
                <w:rFonts w:ascii="Calibri" w:hAnsi="Calibri" w:eastAsia="Calibri" w:cs="Calibri"/>
                <w:sz w:val="21"/>
                <w:szCs w:val="21"/>
              </w:rPr>
              <w:t>1</w:t>
            </w:r>
          </w:p>
        </w:tc>
        <w:tc>
          <w:tcPr>
            <w:tcW w:w="2876" w:type="dxa"/>
            <w:vAlign w:val="top"/>
          </w:tcPr>
          <w:p>
            <w:pPr>
              <w:pStyle w:val="87"/>
              <w:spacing w:before="237" w:line="221" w:lineRule="auto"/>
              <w:ind w:left="111"/>
              <w:rPr>
                <w:sz w:val="21"/>
                <w:szCs w:val="21"/>
              </w:rPr>
            </w:pPr>
            <w:r>
              <w:rPr>
                <w:spacing w:val="-3"/>
                <w:sz w:val="21"/>
                <w:szCs w:val="21"/>
              </w:rPr>
              <w:t>施工图设计开始</w:t>
            </w:r>
            <w:r>
              <w:rPr>
                <w:spacing w:val="-34"/>
                <w:sz w:val="21"/>
                <w:szCs w:val="21"/>
              </w:rPr>
              <w:t xml:space="preserve"> </w:t>
            </w:r>
            <w:r>
              <w:rPr>
                <w:rFonts w:ascii="Calibri" w:hAnsi="Calibri" w:eastAsia="Calibri" w:cs="Calibri"/>
                <w:spacing w:val="-3"/>
                <w:sz w:val="21"/>
                <w:szCs w:val="21"/>
              </w:rPr>
              <w:t>3</w:t>
            </w:r>
            <w:r>
              <w:rPr>
                <w:rFonts w:ascii="Calibri" w:hAnsi="Calibri" w:eastAsia="Calibri" w:cs="Calibri"/>
                <w:spacing w:val="16"/>
                <w:w w:val="101"/>
                <w:sz w:val="21"/>
                <w:szCs w:val="21"/>
              </w:rPr>
              <w:t xml:space="preserve"> </w:t>
            </w:r>
            <w:r>
              <w:rPr>
                <w:spacing w:val="-3"/>
                <w:sz w:val="21"/>
                <w:szCs w:val="21"/>
              </w:rPr>
              <w:t>天前</w:t>
            </w:r>
          </w:p>
        </w:tc>
        <w:tc>
          <w:tcPr>
            <w:tcW w:w="1149"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0" w:hRule="atLeast"/>
        </w:trPr>
        <w:tc>
          <w:tcPr>
            <w:tcW w:w="607" w:type="dxa"/>
            <w:vAlign w:val="top"/>
          </w:tcPr>
          <w:p>
            <w:pPr>
              <w:spacing w:before="283" w:line="179" w:lineRule="auto"/>
              <w:ind w:left="255"/>
              <w:rPr>
                <w:rFonts w:ascii="Calibri" w:hAnsi="Calibri" w:eastAsia="Calibri" w:cs="Calibri"/>
                <w:sz w:val="21"/>
                <w:szCs w:val="21"/>
              </w:rPr>
            </w:pPr>
            <w:r>
              <w:rPr>
                <w:rFonts w:ascii="Calibri" w:hAnsi="Calibri" w:eastAsia="Calibri" w:cs="Calibri"/>
                <w:sz w:val="21"/>
                <w:szCs w:val="21"/>
              </w:rPr>
              <w:t>8</w:t>
            </w:r>
          </w:p>
        </w:tc>
        <w:tc>
          <w:tcPr>
            <w:tcW w:w="3586" w:type="dxa"/>
            <w:vAlign w:val="top"/>
          </w:tcPr>
          <w:p>
            <w:pPr>
              <w:pStyle w:val="87"/>
              <w:spacing w:before="31" w:line="342" w:lineRule="auto"/>
              <w:ind w:left="111" w:right="103" w:firstLine="3"/>
              <w:rPr>
                <w:sz w:val="21"/>
                <w:szCs w:val="21"/>
              </w:rPr>
            </w:pPr>
            <w:r>
              <w:rPr>
                <w:sz w:val="21"/>
                <w:szCs w:val="21"/>
              </w:rPr>
              <w:t>非标准设备设计确认单（含施工图设</w:t>
            </w:r>
            <w:r>
              <w:rPr>
                <w:spacing w:val="1"/>
                <w:sz w:val="21"/>
                <w:szCs w:val="21"/>
              </w:rPr>
              <w:t xml:space="preserve"> </w:t>
            </w:r>
            <w:r>
              <w:rPr>
                <w:spacing w:val="-3"/>
                <w:sz w:val="21"/>
                <w:szCs w:val="21"/>
              </w:rPr>
              <w:t>计开工令）</w:t>
            </w:r>
          </w:p>
        </w:tc>
        <w:tc>
          <w:tcPr>
            <w:tcW w:w="684" w:type="dxa"/>
            <w:vAlign w:val="top"/>
          </w:tcPr>
          <w:p>
            <w:pPr>
              <w:spacing w:before="283" w:line="179" w:lineRule="auto"/>
              <w:ind w:left="123"/>
              <w:rPr>
                <w:rFonts w:ascii="Calibri" w:hAnsi="Calibri" w:eastAsia="Calibri" w:cs="Calibri"/>
                <w:sz w:val="21"/>
                <w:szCs w:val="21"/>
              </w:rPr>
            </w:pPr>
            <w:r>
              <w:rPr>
                <w:rFonts w:ascii="Calibri" w:hAnsi="Calibri" w:eastAsia="Calibri" w:cs="Calibri"/>
                <w:sz w:val="21"/>
                <w:szCs w:val="21"/>
              </w:rPr>
              <w:t>1</w:t>
            </w:r>
          </w:p>
        </w:tc>
        <w:tc>
          <w:tcPr>
            <w:tcW w:w="2876" w:type="dxa"/>
            <w:vAlign w:val="top"/>
          </w:tcPr>
          <w:p>
            <w:pPr>
              <w:pStyle w:val="87"/>
              <w:spacing w:before="237" w:line="221" w:lineRule="auto"/>
              <w:ind w:left="111"/>
              <w:rPr>
                <w:sz w:val="21"/>
                <w:szCs w:val="21"/>
              </w:rPr>
            </w:pPr>
            <w:r>
              <w:rPr>
                <w:spacing w:val="-3"/>
                <w:sz w:val="21"/>
                <w:szCs w:val="21"/>
              </w:rPr>
              <w:t>施工图设计开始</w:t>
            </w:r>
            <w:r>
              <w:rPr>
                <w:spacing w:val="-34"/>
                <w:sz w:val="21"/>
                <w:szCs w:val="21"/>
              </w:rPr>
              <w:t xml:space="preserve"> </w:t>
            </w:r>
            <w:r>
              <w:rPr>
                <w:rFonts w:ascii="Calibri" w:hAnsi="Calibri" w:eastAsia="Calibri" w:cs="Calibri"/>
                <w:spacing w:val="-3"/>
                <w:sz w:val="21"/>
                <w:szCs w:val="21"/>
              </w:rPr>
              <w:t>3</w:t>
            </w:r>
            <w:r>
              <w:rPr>
                <w:rFonts w:ascii="Calibri" w:hAnsi="Calibri" w:eastAsia="Calibri" w:cs="Calibri"/>
                <w:spacing w:val="16"/>
                <w:w w:val="101"/>
                <w:sz w:val="21"/>
                <w:szCs w:val="21"/>
              </w:rPr>
              <w:t xml:space="preserve"> </w:t>
            </w:r>
            <w:r>
              <w:rPr>
                <w:spacing w:val="-3"/>
                <w:sz w:val="21"/>
                <w:szCs w:val="21"/>
              </w:rPr>
              <w:t>天前</w:t>
            </w:r>
          </w:p>
        </w:tc>
        <w:tc>
          <w:tcPr>
            <w:tcW w:w="1149"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3" w:hRule="atLeast"/>
        </w:trPr>
        <w:tc>
          <w:tcPr>
            <w:tcW w:w="607" w:type="dxa"/>
            <w:vAlign w:val="top"/>
          </w:tcPr>
          <w:p>
            <w:pPr>
              <w:spacing w:before="283" w:line="179" w:lineRule="auto"/>
              <w:ind w:left="255"/>
              <w:rPr>
                <w:rFonts w:ascii="Calibri" w:hAnsi="Calibri" w:eastAsia="Calibri" w:cs="Calibri"/>
                <w:sz w:val="21"/>
                <w:szCs w:val="21"/>
              </w:rPr>
            </w:pPr>
            <w:r>
              <w:rPr>
                <w:rFonts w:ascii="Calibri" w:hAnsi="Calibri" w:eastAsia="Calibri" w:cs="Calibri"/>
                <w:sz w:val="21"/>
                <w:szCs w:val="21"/>
              </w:rPr>
              <w:t>9</w:t>
            </w:r>
          </w:p>
        </w:tc>
        <w:tc>
          <w:tcPr>
            <w:tcW w:w="3586" w:type="dxa"/>
            <w:vAlign w:val="top"/>
          </w:tcPr>
          <w:p>
            <w:pPr>
              <w:pStyle w:val="87"/>
              <w:spacing w:before="34" w:line="331" w:lineRule="auto"/>
              <w:ind w:left="135" w:right="55" w:hanging="22"/>
              <w:rPr>
                <w:sz w:val="21"/>
                <w:szCs w:val="21"/>
              </w:rPr>
            </w:pPr>
            <w:r>
              <w:rPr>
                <w:spacing w:val="-7"/>
                <w:sz w:val="21"/>
                <w:szCs w:val="21"/>
              </w:rPr>
              <w:t>工程所在地地形图（</w:t>
            </w:r>
            <w:r>
              <w:rPr>
                <w:rFonts w:ascii="Calibri" w:hAnsi="Calibri" w:eastAsia="Calibri" w:cs="Calibri"/>
                <w:spacing w:val="-7"/>
                <w:sz w:val="21"/>
                <w:szCs w:val="21"/>
              </w:rPr>
              <w:t>1/500</w:t>
            </w:r>
            <w:r>
              <w:rPr>
                <w:rFonts w:ascii="Calibri" w:hAnsi="Calibri" w:eastAsia="Calibri" w:cs="Calibri"/>
                <w:spacing w:val="16"/>
                <w:w w:val="101"/>
                <w:sz w:val="21"/>
                <w:szCs w:val="21"/>
              </w:rPr>
              <w:t xml:space="preserve"> </w:t>
            </w:r>
            <w:r>
              <w:rPr>
                <w:spacing w:val="-7"/>
                <w:sz w:val="21"/>
                <w:szCs w:val="21"/>
              </w:rPr>
              <w:t>或</w:t>
            </w:r>
            <w:r>
              <w:rPr>
                <w:spacing w:val="-34"/>
                <w:sz w:val="21"/>
                <w:szCs w:val="21"/>
              </w:rPr>
              <w:t xml:space="preserve"> </w:t>
            </w:r>
            <w:r>
              <w:rPr>
                <w:rFonts w:ascii="Calibri" w:hAnsi="Calibri" w:eastAsia="Calibri" w:cs="Calibri"/>
                <w:spacing w:val="-7"/>
                <w:sz w:val="21"/>
                <w:szCs w:val="21"/>
              </w:rPr>
              <w:t>1/1000</w:t>
            </w:r>
            <w:r>
              <w:rPr>
                <w:spacing w:val="-7"/>
                <w:sz w:val="21"/>
                <w:szCs w:val="21"/>
              </w:rPr>
              <w:t>）</w:t>
            </w:r>
            <w:r>
              <w:rPr>
                <w:sz w:val="21"/>
                <w:szCs w:val="21"/>
              </w:rPr>
              <w:t xml:space="preserve"> </w:t>
            </w:r>
            <w:r>
              <w:rPr>
                <w:spacing w:val="-4"/>
                <w:sz w:val="21"/>
                <w:szCs w:val="21"/>
              </w:rPr>
              <w:t>电子版及区域位置图</w:t>
            </w:r>
          </w:p>
        </w:tc>
        <w:tc>
          <w:tcPr>
            <w:tcW w:w="684" w:type="dxa"/>
            <w:vAlign w:val="top"/>
          </w:tcPr>
          <w:p>
            <w:pPr>
              <w:spacing w:before="284" w:line="179" w:lineRule="auto"/>
              <w:ind w:left="123"/>
              <w:rPr>
                <w:rFonts w:ascii="Calibri" w:hAnsi="Calibri" w:eastAsia="Calibri" w:cs="Calibri"/>
                <w:sz w:val="21"/>
                <w:szCs w:val="21"/>
              </w:rPr>
            </w:pPr>
            <w:r>
              <w:rPr>
                <w:rFonts w:ascii="Calibri" w:hAnsi="Calibri" w:eastAsia="Calibri" w:cs="Calibri"/>
                <w:sz w:val="21"/>
                <w:szCs w:val="21"/>
              </w:rPr>
              <w:t>1</w:t>
            </w:r>
          </w:p>
        </w:tc>
        <w:tc>
          <w:tcPr>
            <w:tcW w:w="2876" w:type="dxa"/>
            <w:vAlign w:val="top"/>
          </w:tcPr>
          <w:p>
            <w:pPr>
              <w:pStyle w:val="87"/>
              <w:spacing w:before="236" w:line="221" w:lineRule="auto"/>
              <w:ind w:left="111"/>
              <w:rPr>
                <w:sz w:val="21"/>
                <w:szCs w:val="21"/>
              </w:rPr>
            </w:pPr>
            <w:r>
              <w:rPr>
                <w:spacing w:val="-3"/>
                <w:sz w:val="21"/>
                <w:szCs w:val="21"/>
              </w:rPr>
              <w:t>初步设计开始</w:t>
            </w:r>
            <w:r>
              <w:rPr>
                <w:spacing w:val="-40"/>
                <w:sz w:val="21"/>
                <w:szCs w:val="21"/>
              </w:rPr>
              <w:t xml:space="preserve"> </w:t>
            </w:r>
            <w:r>
              <w:rPr>
                <w:rFonts w:ascii="Calibri" w:hAnsi="Calibri" w:eastAsia="Calibri" w:cs="Calibri"/>
                <w:spacing w:val="-3"/>
                <w:sz w:val="21"/>
                <w:szCs w:val="21"/>
              </w:rPr>
              <w:t>3</w:t>
            </w:r>
            <w:r>
              <w:rPr>
                <w:rFonts w:ascii="Calibri" w:hAnsi="Calibri" w:eastAsia="Calibri" w:cs="Calibri"/>
                <w:spacing w:val="19"/>
                <w:w w:val="101"/>
                <w:sz w:val="21"/>
                <w:szCs w:val="21"/>
              </w:rPr>
              <w:t xml:space="preserve"> </w:t>
            </w:r>
            <w:r>
              <w:rPr>
                <w:spacing w:val="-3"/>
                <w:sz w:val="21"/>
                <w:szCs w:val="21"/>
              </w:rPr>
              <w:t>天前</w:t>
            </w:r>
          </w:p>
        </w:tc>
        <w:tc>
          <w:tcPr>
            <w:tcW w:w="1149"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31" w:hRule="atLeast"/>
        </w:trPr>
        <w:tc>
          <w:tcPr>
            <w:tcW w:w="607" w:type="dxa"/>
            <w:vAlign w:val="top"/>
          </w:tcPr>
          <w:p>
            <w:pPr>
              <w:spacing w:line="421" w:lineRule="auto"/>
              <w:rPr>
                <w:rFonts w:ascii="Arial"/>
                <w:sz w:val="21"/>
              </w:rPr>
            </w:pPr>
          </w:p>
          <w:p>
            <w:pPr>
              <w:spacing w:before="64" w:line="179" w:lineRule="auto"/>
              <w:ind w:left="209"/>
              <w:rPr>
                <w:rFonts w:ascii="Calibri" w:hAnsi="Calibri" w:eastAsia="Calibri" w:cs="Calibri"/>
                <w:sz w:val="21"/>
                <w:szCs w:val="21"/>
              </w:rPr>
            </w:pPr>
            <w:r>
              <w:rPr>
                <w:rFonts w:ascii="Calibri" w:hAnsi="Calibri" w:eastAsia="Calibri" w:cs="Calibri"/>
                <w:spacing w:val="-4"/>
                <w:sz w:val="21"/>
                <w:szCs w:val="21"/>
              </w:rPr>
              <w:t>10</w:t>
            </w:r>
          </w:p>
        </w:tc>
        <w:tc>
          <w:tcPr>
            <w:tcW w:w="3586" w:type="dxa"/>
            <w:vAlign w:val="top"/>
          </w:tcPr>
          <w:p>
            <w:pPr>
              <w:pStyle w:val="87"/>
              <w:spacing w:before="33" w:line="348" w:lineRule="auto"/>
              <w:ind w:left="114" w:right="28"/>
              <w:jc w:val="both"/>
              <w:rPr>
                <w:sz w:val="21"/>
                <w:szCs w:val="21"/>
              </w:rPr>
            </w:pPr>
            <w:r>
              <w:rPr>
                <w:spacing w:val="-8"/>
                <w:sz w:val="21"/>
                <w:szCs w:val="21"/>
              </w:rPr>
              <w:t>交通、原料、外部供水、排水、供电、</w:t>
            </w:r>
            <w:r>
              <w:rPr>
                <w:spacing w:val="1"/>
                <w:sz w:val="21"/>
                <w:szCs w:val="21"/>
              </w:rPr>
              <w:t xml:space="preserve"> </w:t>
            </w:r>
            <w:r>
              <w:rPr>
                <w:spacing w:val="-1"/>
                <w:sz w:val="21"/>
                <w:szCs w:val="21"/>
              </w:rPr>
              <w:t>电信等位置、标高、坐标、管径或能</w:t>
            </w:r>
            <w:r>
              <w:rPr>
                <w:spacing w:val="3"/>
                <w:sz w:val="21"/>
                <w:szCs w:val="21"/>
              </w:rPr>
              <w:t xml:space="preserve">  </w:t>
            </w:r>
            <w:r>
              <w:rPr>
                <w:spacing w:val="-1"/>
                <w:sz w:val="21"/>
                <w:szCs w:val="21"/>
              </w:rPr>
              <w:t>力等资料（相关物探资料）</w:t>
            </w:r>
          </w:p>
        </w:tc>
        <w:tc>
          <w:tcPr>
            <w:tcW w:w="684" w:type="dxa"/>
            <w:vAlign w:val="top"/>
          </w:tcPr>
          <w:p>
            <w:pPr>
              <w:spacing w:line="421" w:lineRule="auto"/>
              <w:rPr>
                <w:rFonts w:ascii="Arial"/>
                <w:sz w:val="21"/>
              </w:rPr>
            </w:pPr>
          </w:p>
          <w:p>
            <w:pPr>
              <w:spacing w:before="64" w:line="179" w:lineRule="auto"/>
              <w:ind w:left="123"/>
              <w:rPr>
                <w:rFonts w:ascii="Calibri" w:hAnsi="Calibri" w:eastAsia="Calibri" w:cs="Calibri"/>
                <w:sz w:val="21"/>
                <w:szCs w:val="21"/>
              </w:rPr>
            </w:pPr>
            <w:r>
              <w:rPr>
                <w:rFonts w:ascii="Calibri" w:hAnsi="Calibri" w:eastAsia="Calibri" w:cs="Calibri"/>
                <w:sz w:val="21"/>
                <w:szCs w:val="21"/>
              </w:rPr>
              <w:t>1</w:t>
            </w:r>
          </w:p>
        </w:tc>
        <w:tc>
          <w:tcPr>
            <w:tcW w:w="2876" w:type="dxa"/>
            <w:vAlign w:val="top"/>
          </w:tcPr>
          <w:p>
            <w:pPr>
              <w:spacing w:line="370" w:lineRule="auto"/>
              <w:rPr>
                <w:rFonts w:ascii="Arial"/>
                <w:sz w:val="21"/>
              </w:rPr>
            </w:pPr>
          </w:p>
          <w:p>
            <w:pPr>
              <w:pStyle w:val="87"/>
              <w:spacing w:before="68" w:line="221" w:lineRule="auto"/>
              <w:ind w:left="111"/>
              <w:rPr>
                <w:sz w:val="21"/>
                <w:szCs w:val="21"/>
              </w:rPr>
            </w:pPr>
            <w:r>
              <w:rPr>
                <w:spacing w:val="-3"/>
                <w:sz w:val="21"/>
                <w:szCs w:val="21"/>
              </w:rPr>
              <w:t>初步设计开始</w:t>
            </w:r>
            <w:r>
              <w:rPr>
                <w:spacing w:val="-40"/>
                <w:sz w:val="21"/>
                <w:szCs w:val="21"/>
              </w:rPr>
              <w:t xml:space="preserve"> </w:t>
            </w:r>
            <w:r>
              <w:rPr>
                <w:rFonts w:ascii="Calibri" w:hAnsi="Calibri" w:eastAsia="Calibri" w:cs="Calibri"/>
                <w:spacing w:val="-3"/>
                <w:sz w:val="21"/>
                <w:szCs w:val="21"/>
              </w:rPr>
              <w:t>3</w:t>
            </w:r>
            <w:r>
              <w:rPr>
                <w:rFonts w:ascii="Calibri" w:hAnsi="Calibri" w:eastAsia="Calibri" w:cs="Calibri"/>
                <w:spacing w:val="19"/>
                <w:w w:val="101"/>
                <w:sz w:val="21"/>
                <w:szCs w:val="21"/>
              </w:rPr>
              <w:t xml:space="preserve"> </w:t>
            </w:r>
            <w:r>
              <w:rPr>
                <w:spacing w:val="-3"/>
                <w:sz w:val="21"/>
                <w:szCs w:val="21"/>
              </w:rPr>
              <w:t>天前</w:t>
            </w:r>
          </w:p>
        </w:tc>
        <w:tc>
          <w:tcPr>
            <w:tcW w:w="1149"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607" w:type="dxa"/>
            <w:vAlign w:val="top"/>
          </w:tcPr>
          <w:p>
            <w:pPr>
              <w:spacing w:before="150" w:line="179" w:lineRule="auto"/>
              <w:ind w:left="209"/>
              <w:rPr>
                <w:rFonts w:ascii="Calibri" w:hAnsi="Calibri" w:eastAsia="Calibri" w:cs="Calibri"/>
                <w:sz w:val="21"/>
                <w:szCs w:val="21"/>
              </w:rPr>
            </w:pPr>
            <w:r>
              <w:rPr>
                <w:rFonts w:ascii="Calibri" w:hAnsi="Calibri" w:eastAsia="Calibri" w:cs="Calibri"/>
                <w:spacing w:val="-4"/>
                <w:sz w:val="21"/>
                <w:szCs w:val="21"/>
              </w:rPr>
              <w:t>11</w:t>
            </w:r>
          </w:p>
        </w:tc>
        <w:tc>
          <w:tcPr>
            <w:tcW w:w="3586" w:type="dxa"/>
            <w:vAlign w:val="top"/>
          </w:tcPr>
          <w:p>
            <w:pPr>
              <w:pStyle w:val="87"/>
              <w:spacing w:before="103" w:line="221" w:lineRule="auto"/>
              <w:ind w:left="112"/>
              <w:rPr>
                <w:sz w:val="21"/>
                <w:szCs w:val="21"/>
              </w:rPr>
            </w:pPr>
            <w:r>
              <w:rPr>
                <w:spacing w:val="-1"/>
                <w:sz w:val="21"/>
                <w:szCs w:val="21"/>
              </w:rPr>
              <w:t>其它设计资料</w:t>
            </w:r>
          </w:p>
        </w:tc>
        <w:tc>
          <w:tcPr>
            <w:tcW w:w="684" w:type="dxa"/>
            <w:vAlign w:val="top"/>
          </w:tcPr>
          <w:p>
            <w:pPr>
              <w:spacing w:before="150" w:line="179" w:lineRule="auto"/>
              <w:ind w:left="123"/>
              <w:rPr>
                <w:rFonts w:ascii="Calibri" w:hAnsi="Calibri" w:eastAsia="Calibri" w:cs="Calibri"/>
                <w:sz w:val="21"/>
                <w:szCs w:val="21"/>
              </w:rPr>
            </w:pPr>
            <w:r>
              <w:rPr>
                <w:rFonts w:ascii="Calibri" w:hAnsi="Calibri" w:eastAsia="Calibri" w:cs="Calibri"/>
                <w:sz w:val="21"/>
                <w:szCs w:val="21"/>
              </w:rPr>
              <w:t>1</w:t>
            </w:r>
          </w:p>
        </w:tc>
        <w:tc>
          <w:tcPr>
            <w:tcW w:w="2876" w:type="dxa"/>
            <w:vAlign w:val="top"/>
          </w:tcPr>
          <w:p>
            <w:pPr>
              <w:pStyle w:val="87"/>
              <w:spacing w:before="103" w:line="221" w:lineRule="auto"/>
              <w:ind w:left="114"/>
              <w:rPr>
                <w:sz w:val="21"/>
                <w:szCs w:val="21"/>
              </w:rPr>
            </w:pPr>
            <w:r>
              <w:rPr>
                <w:spacing w:val="-3"/>
                <w:sz w:val="21"/>
                <w:szCs w:val="21"/>
              </w:rPr>
              <w:t>各设计阶段设计开始</w:t>
            </w:r>
            <w:r>
              <w:rPr>
                <w:spacing w:val="-33"/>
                <w:sz w:val="21"/>
                <w:szCs w:val="21"/>
              </w:rPr>
              <w:t xml:space="preserve"> </w:t>
            </w:r>
            <w:r>
              <w:rPr>
                <w:rFonts w:ascii="Calibri" w:hAnsi="Calibri" w:eastAsia="Calibri" w:cs="Calibri"/>
                <w:spacing w:val="-3"/>
                <w:sz w:val="21"/>
                <w:szCs w:val="21"/>
              </w:rPr>
              <w:t>3</w:t>
            </w:r>
            <w:r>
              <w:rPr>
                <w:rFonts w:ascii="Calibri" w:hAnsi="Calibri" w:eastAsia="Calibri" w:cs="Calibri"/>
                <w:spacing w:val="16"/>
                <w:w w:val="101"/>
                <w:sz w:val="21"/>
                <w:szCs w:val="21"/>
              </w:rPr>
              <w:t xml:space="preserve"> </w:t>
            </w:r>
            <w:r>
              <w:rPr>
                <w:spacing w:val="-3"/>
                <w:sz w:val="21"/>
                <w:szCs w:val="21"/>
              </w:rPr>
              <w:t>天前</w:t>
            </w:r>
          </w:p>
        </w:tc>
        <w:tc>
          <w:tcPr>
            <w:tcW w:w="1149"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9" w:hRule="atLeast"/>
        </w:trPr>
        <w:tc>
          <w:tcPr>
            <w:tcW w:w="607" w:type="dxa"/>
            <w:vAlign w:val="top"/>
          </w:tcPr>
          <w:p>
            <w:pPr>
              <w:spacing w:before="149" w:line="180" w:lineRule="auto"/>
              <w:ind w:left="209"/>
              <w:rPr>
                <w:rFonts w:ascii="Calibri" w:hAnsi="Calibri" w:eastAsia="Calibri" w:cs="Calibri"/>
                <w:sz w:val="21"/>
                <w:szCs w:val="21"/>
              </w:rPr>
            </w:pPr>
            <w:r>
              <w:rPr>
                <w:rFonts w:ascii="Calibri" w:hAnsi="Calibri" w:eastAsia="Calibri" w:cs="Calibri"/>
                <w:spacing w:val="-4"/>
                <w:sz w:val="21"/>
                <w:szCs w:val="21"/>
              </w:rPr>
              <w:t>12</w:t>
            </w:r>
          </w:p>
        </w:tc>
        <w:tc>
          <w:tcPr>
            <w:tcW w:w="3586" w:type="dxa"/>
            <w:vAlign w:val="top"/>
          </w:tcPr>
          <w:p>
            <w:pPr>
              <w:pStyle w:val="87"/>
              <w:spacing w:before="104" w:line="219" w:lineRule="auto"/>
              <w:ind w:left="112"/>
              <w:rPr>
                <w:sz w:val="21"/>
                <w:szCs w:val="21"/>
              </w:rPr>
            </w:pPr>
            <w:r>
              <w:rPr>
                <w:spacing w:val="-1"/>
                <w:sz w:val="21"/>
                <w:szCs w:val="21"/>
              </w:rPr>
              <w:t>竣工验收报告</w:t>
            </w:r>
          </w:p>
        </w:tc>
        <w:tc>
          <w:tcPr>
            <w:tcW w:w="684" w:type="dxa"/>
            <w:vAlign w:val="top"/>
          </w:tcPr>
          <w:p>
            <w:pPr>
              <w:spacing w:before="151" w:line="179" w:lineRule="auto"/>
              <w:ind w:left="123"/>
              <w:rPr>
                <w:rFonts w:ascii="Calibri" w:hAnsi="Calibri" w:eastAsia="Calibri" w:cs="Calibri"/>
                <w:sz w:val="21"/>
                <w:szCs w:val="21"/>
              </w:rPr>
            </w:pPr>
            <w:r>
              <w:rPr>
                <w:rFonts w:ascii="Calibri" w:hAnsi="Calibri" w:eastAsia="Calibri" w:cs="Calibri"/>
                <w:sz w:val="21"/>
                <w:szCs w:val="21"/>
              </w:rPr>
              <w:t>1</w:t>
            </w:r>
          </w:p>
        </w:tc>
        <w:tc>
          <w:tcPr>
            <w:tcW w:w="2876" w:type="dxa"/>
            <w:vAlign w:val="top"/>
          </w:tcPr>
          <w:p>
            <w:pPr>
              <w:pStyle w:val="87"/>
              <w:spacing w:before="103" w:line="221" w:lineRule="auto"/>
              <w:ind w:left="114"/>
              <w:rPr>
                <w:sz w:val="21"/>
                <w:szCs w:val="21"/>
              </w:rPr>
            </w:pPr>
            <w:r>
              <w:rPr>
                <w:spacing w:val="-3"/>
                <w:sz w:val="21"/>
                <w:szCs w:val="21"/>
              </w:rPr>
              <w:t>工程竣工验收通过后</w:t>
            </w:r>
            <w:r>
              <w:rPr>
                <w:spacing w:val="-33"/>
                <w:sz w:val="21"/>
                <w:szCs w:val="21"/>
              </w:rPr>
              <w:t xml:space="preserve"> </w:t>
            </w:r>
            <w:r>
              <w:rPr>
                <w:rFonts w:ascii="Calibri" w:hAnsi="Calibri" w:eastAsia="Calibri" w:cs="Calibri"/>
                <w:spacing w:val="-3"/>
                <w:sz w:val="21"/>
                <w:szCs w:val="21"/>
              </w:rPr>
              <w:t>5</w:t>
            </w:r>
            <w:r>
              <w:rPr>
                <w:rFonts w:ascii="Calibri" w:hAnsi="Calibri" w:eastAsia="Calibri" w:cs="Calibri"/>
                <w:spacing w:val="16"/>
                <w:w w:val="101"/>
                <w:sz w:val="21"/>
                <w:szCs w:val="21"/>
              </w:rPr>
              <w:t xml:space="preserve"> </w:t>
            </w:r>
            <w:r>
              <w:rPr>
                <w:spacing w:val="-3"/>
                <w:sz w:val="21"/>
                <w:szCs w:val="21"/>
              </w:rPr>
              <w:t>天内</w:t>
            </w:r>
          </w:p>
        </w:tc>
        <w:tc>
          <w:tcPr>
            <w:tcW w:w="1149" w:type="dxa"/>
            <w:vMerge w:val="continue"/>
            <w:tcBorders>
              <w:top w:val="nil"/>
            </w:tcBorders>
            <w:vAlign w:val="top"/>
          </w:tcPr>
          <w:p>
            <w:pPr>
              <w:rPr>
                <w:rFonts w:ascii="Arial"/>
                <w:sz w:val="21"/>
              </w:rPr>
            </w:pPr>
          </w:p>
        </w:tc>
      </w:tr>
    </w:tbl>
    <w:p>
      <w:pPr>
        <w:spacing w:before="33" w:line="217" w:lineRule="auto"/>
        <w:jc w:val="right"/>
        <w:rPr>
          <w:rFonts w:ascii="仿宋" w:hAnsi="仿宋" w:eastAsia="仿宋" w:cs="仿宋"/>
          <w:sz w:val="24"/>
          <w:szCs w:val="24"/>
        </w:rPr>
      </w:pPr>
      <w:r>
        <w:rPr>
          <w:rFonts w:ascii="仿宋" w:hAnsi="仿宋" w:eastAsia="仿宋" w:cs="仿宋"/>
          <w:spacing w:val="-3"/>
          <w:sz w:val="24"/>
          <w:szCs w:val="24"/>
        </w:rPr>
        <w:t>（上表内容仅供参考，发包人和设计人应当根据行业特点及项目</w:t>
      </w:r>
      <w:r>
        <w:rPr>
          <w:rFonts w:ascii="仿宋" w:hAnsi="仿宋" w:eastAsia="仿宋" w:cs="仿宋"/>
          <w:spacing w:val="-4"/>
          <w:sz w:val="24"/>
          <w:szCs w:val="24"/>
        </w:rPr>
        <w:t>具体情况详细列举）</w:t>
      </w:r>
    </w:p>
    <w:p>
      <w:pPr>
        <w:spacing w:line="217" w:lineRule="auto"/>
        <w:rPr>
          <w:rFonts w:ascii="仿宋" w:hAnsi="仿宋" w:eastAsia="仿宋" w:cs="仿宋"/>
          <w:sz w:val="24"/>
          <w:szCs w:val="24"/>
        </w:rPr>
        <w:sectPr>
          <w:footerReference r:id="rId13" w:type="default"/>
          <w:pgSz w:w="11907" w:h="16841"/>
          <w:pgMar w:top="400" w:right="1331" w:bottom="1014" w:left="1570" w:header="0" w:footer="851" w:gutter="0"/>
          <w:cols w:space="720" w:num="1"/>
        </w:sectPr>
      </w:pPr>
    </w:p>
    <w:p>
      <w:pPr>
        <w:spacing w:line="245" w:lineRule="auto"/>
        <w:ind w:left="0" w:leftChars="0" w:firstLine="0" w:firstLineChars="0"/>
        <w:rPr>
          <w:rFonts w:ascii="Arial"/>
          <w:sz w:val="21"/>
        </w:rPr>
      </w:pPr>
    </w:p>
    <w:p>
      <w:pPr>
        <w:spacing w:before="207" w:line="219" w:lineRule="auto"/>
        <w:ind w:left="895"/>
        <w:rPr>
          <w:rFonts w:ascii="黑体" w:hAnsi="黑体" w:eastAsia="黑体" w:cs="黑体"/>
          <w:sz w:val="28"/>
          <w:szCs w:val="28"/>
        </w:rPr>
      </w:pPr>
      <w:r>
        <w:rPr>
          <w:rFonts w:hint="eastAsia" w:ascii="黑体" w:hAnsi="黑体" w:eastAsia="黑体" w:cs="黑体"/>
          <w:b/>
          <w:bCs/>
          <w:spacing w:val="-9"/>
          <w:sz w:val="28"/>
          <w:szCs w:val="28"/>
          <w:lang w:val="en-US" w:eastAsia="zh-CN"/>
        </w:rPr>
        <w:t>附件3：</w:t>
      </w:r>
      <w:r>
        <w:rPr>
          <w:rFonts w:ascii="黑体" w:hAnsi="黑体" w:eastAsia="黑体" w:cs="黑体"/>
          <w:spacing w:val="-1"/>
          <w:sz w:val="28"/>
          <w:szCs w:val="28"/>
        </w:rPr>
        <w:t>设计人向发包人交付的工程设计文件目录（适</w:t>
      </w:r>
      <w:r>
        <w:rPr>
          <w:rFonts w:ascii="黑体" w:hAnsi="黑体" w:eastAsia="黑体" w:cs="黑体"/>
          <w:spacing w:val="-2"/>
          <w:sz w:val="28"/>
          <w:szCs w:val="28"/>
        </w:rPr>
        <w:t>用于市政工程）</w:t>
      </w:r>
    </w:p>
    <w:p>
      <w:pPr>
        <w:spacing w:before="51"/>
      </w:pPr>
    </w:p>
    <w:p>
      <w:pPr>
        <w:spacing w:before="50"/>
      </w:pPr>
    </w:p>
    <w:tbl>
      <w:tblPr>
        <w:tblStyle w:val="88"/>
        <w:tblW w:w="912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43"/>
        <w:gridCol w:w="3783"/>
        <w:gridCol w:w="720"/>
        <w:gridCol w:w="2884"/>
        <w:gridCol w:w="109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34" w:hRule="atLeast"/>
        </w:trPr>
        <w:tc>
          <w:tcPr>
            <w:tcW w:w="643" w:type="dxa"/>
            <w:vAlign w:val="top"/>
          </w:tcPr>
          <w:p>
            <w:pPr>
              <w:keepNext w:val="0"/>
              <w:keepLines w:val="0"/>
              <w:pageBreakBefore w:val="0"/>
              <w:widowControl/>
              <w:kinsoku/>
              <w:wordWrap/>
              <w:overflowPunct/>
              <w:topLinePunct w:val="0"/>
              <w:autoSpaceDE/>
              <w:autoSpaceDN/>
              <w:bidi w:val="0"/>
              <w:adjustRightInd/>
              <w:snapToGrid/>
              <w:spacing w:before="0" w:after="0" w:afterAutospacing="0" w:line="240" w:lineRule="auto"/>
              <w:ind w:left="0" w:right="0" w:firstLine="0"/>
              <w:textAlignment w:val="auto"/>
              <w:rPr>
                <w:rFonts w:ascii="Arial"/>
                <w:sz w:val="21"/>
              </w:rPr>
            </w:pPr>
          </w:p>
          <w:p>
            <w:pPr>
              <w:pStyle w:val="87"/>
              <w:keepNext w:val="0"/>
              <w:keepLines w:val="0"/>
              <w:pageBreakBefore w:val="0"/>
              <w:widowControl/>
              <w:kinsoku/>
              <w:wordWrap/>
              <w:overflowPunct/>
              <w:topLinePunct w:val="0"/>
              <w:autoSpaceDE/>
              <w:autoSpaceDN/>
              <w:bidi w:val="0"/>
              <w:adjustRightInd/>
              <w:snapToGrid/>
              <w:spacing w:before="0" w:afterAutospacing="0" w:line="240" w:lineRule="auto"/>
              <w:ind w:left="0" w:right="0" w:firstLine="0"/>
              <w:jc w:val="center"/>
              <w:textAlignment w:val="auto"/>
              <w:rPr>
                <w:rFonts w:hint="eastAsia" w:eastAsia="宋体"/>
                <w:lang w:val="en-US" w:eastAsia="zh-CN"/>
              </w:rPr>
            </w:pPr>
            <w:r>
              <w:rPr>
                <w:b/>
                <w:bCs/>
                <w:spacing w:val="-4"/>
                <w:sz w:val="21"/>
                <w:szCs w:val="21"/>
              </w:rPr>
              <w:t>序号</w:t>
            </w:r>
          </w:p>
        </w:tc>
        <w:tc>
          <w:tcPr>
            <w:tcW w:w="3783" w:type="dxa"/>
            <w:vAlign w:val="top"/>
          </w:tcPr>
          <w:p>
            <w:pPr>
              <w:spacing w:line="423" w:lineRule="auto"/>
              <w:rPr>
                <w:rFonts w:ascii="Arial"/>
                <w:sz w:val="21"/>
              </w:rPr>
            </w:pPr>
          </w:p>
          <w:p>
            <w:pPr>
              <w:pStyle w:val="87"/>
              <w:spacing w:before="69" w:line="221" w:lineRule="auto"/>
              <w:ind w:left="1164"/>
              <w:rPr>
                <w:sz w:val="21"/>
                <w:szCs w:val="21"/>
              </w:rPr>
            </w:pPr>
            <w:r>
              <w:rPr>
                <w:b/>
                <w:bCs/>
                <w:spacing w:val="-4"/>
                <w:sz w:val="21"/>
                <w:szCs w:val="21"/>
              </w:rPr>
              <w:t>资料及文件名称</w:t>
            </w:r>
          </w:p>
        </w:tc>
        <w:tc>
          <w:tcPr>
            <w:tcW w:w="720" w:type="dxa"/>
            <w:vAlign w:val="top"/>
          </w:tcPr>
          <w:p>
            <w:pPr>
              <w:keepNext w:val="0"/>
              <w:keepLines w:val="0"/>
              <w:pageBreakBefore w:val="0"/>
              <w:widowControl/>
              <w:kinsoku/>
              <w:wordWrap/>
              <w:overflowPunct/>
              <w:topLinePunct w:val="0"/>
              <w:autoSpaceDE/>
              <w:autoSpaceDN/>
              <w:bidi w:val="0"/>
              <w:adjustRightInd/>
              <w:snapToGrid/>
              <w:spacing w:before="0" w:after="0" w:afterAutospacing="0" w:line="423" w:lineRule="auto"/>
              <w:ind w:left="0" w:right="0" w:firstLine="0"/>
              <w:textAlignment w:val="auto"/>
              <w:rPr>
                <w:rFonts w:ascii="Arial"/>
                <w:sz w:val="21"/>
              </w:rPr>
            </w:pPr>
          </w:p>
          <w:p>
            <w:pPr>
              <w:pStyle w:val="87"/>
              <w:spacing w:before="69" w:line="221" w:lineRule="auto"/>
              <w:rPr>
                <w:rFonts w:hint="eastAsia" w:eastAsia="宋体"/>
                <w:lang w:val="en-US" w:eastAsia="zh-CN"/>
              </w:rPr>
            </w:pPr>
          </w:p>
        </w:tc>
        <w:tc>
          <w:tcPr>
            <w:tcW w:w="2884" w:type="dxa"/>
            <w:vAlign w:val="top"/>
          </w:tcPr>
          <w:p>
            <w:pPr>
              <w:spacing w:line="424" w:lineRule="auto"/>
              <w:rPr>
                <w:rFonts w:ascii="Arial"/>
                <w:sz w:val="21"/>
              </w:rPr>
            </w:pPr>
          </w:p>
          <w:p>
            <w:pPr>
              <w:pStyle w:val="87"/>
              <w:spacing w:before="68" w:line="221" w:lineRule="auto"/>
              <w:ind w:left="1125"/>
              <w:rPr>
                <w:sz w:val="21"/>
                <w:szCs w:val="21"/>
              </w:rPr>
            </w:pPr>
            <w:r>
              <w:rPr>
                <w:b/>
                <w:bCs/>
                <w:spacing w:val="-4"/>
                <w:sz w:val="21"/>
                <w:szCs w:val="21"/>
              </w:rPr>
              <w:t>提交日期</w:t>
            </w:r>
          </w:p>
        </w:tc>
        <w:tc>
          <w:tcPr>
            <w:tcW w:w="1091" w:type="dxa"/>
            <w:vAlign w:val="top"/>
          </w:tcPr>
          <w:p>
            <w:pPr>
              <w:keepNext w:val="0"/>
              <w:keepLines w:val="0"/>
              <w:pageBreakBefore w:val="0"/>
              <w:widowControl/>
              <w:kinsoku/>
              <w:wordWrap/>
              <w:overflowPunct/>
              <w:topLinePunct w:val="0"/>
              <w:autoSpaceDE/>
              <w:autoSpaceDN/>
              <w:bidi w:val="0"/>
              <w:adjustRightInd/>
              <w:snapToGrid/>
              <w:spacing w:before="0" w:after="0" w:afterAutospacing="0" w:line="424" w:lineRule="auto"/>
              <w:ind w:left="0" w:right="0" w:firstLine="0"/>
              <w:textAlignment w:val="auto"/>
              <w:rPr>
                <w:rFonts w:ascii="Arial"/>
                <w:sz w:val="21"/>
              </w:rPr>
            </w:pPr>
          </w:p>
          <w:p>
            <w:pPr>
              <w:pStyle w:val="87"/>
              <w:keepNext w:val="0"/>
              <w:keepLines w:val="0"/>
              <w:pageBreakBefore w:val="0"/>
              <w:widowControl/>
              <w:kinsoku/>
              <w:wordWrap/>
              <w:overflowPunct/>
              <w:topLinePunct w:val="0"/>
              <w:autoSpaceDE/>
              <w:autoSpaceDN/>
              <w:bidi w:val="0"/>
              <w:adjustRightInd/>
              <w:snapToGrid/>
              <w:spacing w:before="0" w:after="0" w:afterAutospacing="0" w:line="221" w:lineRule="auto"/>
              <w:ind w:left="0" w:right="0" w:firstLine="0"/>
              <w:jc w:val="center"/>
              <w:textAlignment w:val="auto"/>
              <w:rPr>
                <w:sz w:val="21"/>
                <w:szCs w:val="21"/>
              </w:rPr>
            </w:pPr>
            <w:r>
              <w:rPr>
                <w:b/>
                <w:bCs/>
                <w:spacing w:val="-4"/>
                <w:sz w:val="21"/>
                <w:szCs w:val="21"/>
              </w:rPr>
              <w:t>有关事宜</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643" w:type="dxa"/>
            <w:vAlign w:val="top"/>
          </w:tcPr>
          <w:p>
            <w:pPr>
              <w:pStyle w:val="87"/>
              <w:spacing w:before="135" w:line="183" w:lineRule="auto"/>
              <w:ind w:left="287"/>
              <w:rPr>
                <w:sz w:val="21"/>
                <w:szCs w:val="21"/>
              </w:rPr>
            </w:pPr>
            <w:r>
              <w:rPr>
                <w:sz w:val="21"/>
                <w:szCs w:val="21"/>
              </w:rPr>
              <w:t>1</w:t>
            </w:r>
          </w:p>
        </w:tc>
        <w:tc>
          <w:tcPr>
            <w:tcW w:w="3783" w:type="dxa"/>
            <w:vAlign w:val="top"/>
          </w:tcPr>
          <w:p>
            <w:pPr>
              <w:pStyle w:val="87"/>
              <w:spacing w:before="101" w:line="221" w:lineRule="auto"/>
              <w:ind w:left="1264"/>
              <w:rPr>
                <w:sz w:val="21"/>
                <w:szCs w:val="21"/>
              </w:rPr>
            </w:pPr>
            <w:r>
              <w:rPr>
                <w:spacing w:val="-1"/>
                <w:sz w:val="21"/>
                <w:szCs w:val="21"/>
              </w:rPr>
              <w:t>方案设计文件</w:t>
            </w:r>
          </w:p>
        </w:tc>
        <w:tc>
          <w:tcPr>
            <w:tcW w:w="720" w:type="dxa"/>
            <w:vAlign w:val="top"/>
          </w:tcPr>
          <w:p>
            <w:pPr>
              <w:rPr>
                <w:rFonts w:ascii="Arial"/>
                <w:sz w:val="21"/>
              </w:rPr>
            </w:pPr>
          </w:p>
        </w:tc>
        <w:tc>
          <w:tcPr>
            <w:tcW w:w="2884" w:type="dxa"/>
            <w:vAlign w:val="top"/>
          </w:tcPr>
          <w:p>
            <w:pPr>
              <w:pStyle w:val="87"/>
              <w:tabs>
                <w:tab w:val="left" w:pos="1641"/>
              </w:tabs>
              <w:spacing w:before="102" w:line="221" w:lineRule="auto"/>
              <w:ind w:left="1219"/>
              <w:rPr>
                <w:sz w:val="21"/>
                <w:szCs w:val="21"/>
              </w:rPr>
            </w:pPr>
            <w:r>
              <w:rPr>
                <w:sz w:val="21"/>
                <w:szCs w:val="21"/>
                <w:u w:val="single" w:color="auto"/>
              </w:rPr>
              <w:tab/>
            </w:r>
            <w:r>
              <w:rPr>
                <w:spacing w:val="-92"/>
                <w:sz w:val="21"/>
                <w:szCs w:val="21"/>
              </w:rPr>
              <w:t xml:space="preserve"> </w:t>
            </w:r>
            <w:r>
              <w:rPr>
                <w:b/>
                <w:bCs/>
                <w:spacing w:val="-3"/>
                <w:sz w:val="21"/>
                <w:szCs w:val="21"/>
              </w:rPr>
              <w:t>天</w:t>
            </w:r>
          </w:p>
        </w:tc>
        <w:tc>
          <w:tcPr>
            <w:tcW w:w="1091" w:type="dxa"/>
            <w:vMerge w:val="restart"/>
            <w:tcBorders>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643" w:type="dxa"/>
            <w:vAlign w:val="top"/>
          </w:tcPr>
          <w:p>
            <w:pPr>
              <w:pStyle w:val="87"/>
              <w:spacing w:before="135" w:line="182" w:lineRule="auto"/>
              <w:ind w:left="274"/>
              <w:rPr>
                <w:sz w:val="21"/>
                <w:szCs w:val="21"/>
              </w:rPr>
            </w:pPr>
            <w:r>
              <w:rPr>
                <w:sz w:val="21"/>
                <w:szCs w:val="21"/>
              </w:rPr>
              <w:t>2</w:t>
            </w:r>
          </w:p>
        </w:tc>
        <w:tc>
          <w:tcPr>
            <w:tcW w:w="3783" w:type="dxa"/>
            <w:vAlign w:val="top"/>
          </w:tcPr>
          <w:p>
            <w:pPr>
              <w:pStyle w:val="87"/>
              <w:spacing w:before="99" w:line="221" w:lineRule="auto"/>
              <w:ind w:left="1262"/>
              <w:rPr>
                <w:sz w:val="21"/>
                <w:szCs w:val="21"/>
              </w:rPr>
            </w:pPr>
            <w:r>
              <w:rPr>
                <w:spacing w:val="-1"/>
                <w:sz w:val="21"/>
                <w:szCs w:val="21"/>
              </w:rPr>
              <w:t>初步设计文件</w:t>
            </w:r>
          </w:p>
        </w:tc>
        <w:tc>
          <w:tcPr>
            <w:tcW w:w="720" w:type="dxa"/>
            <w:vAlign w:val="top"/>
          </w:tcPr>
          <w:p>
            <w:pPr>
              <w:rPr>
                <w:rFonts w:ascii="Arial"/>
                <w:sz w:val="21"/>
              </w:rPr>
            </w:pPr>
          </w:p>
        </w:tc>
        <w:tc>
          <w:tcPr>
            <w:tcW w:w="2884" w:type="dxa"/>
            <w:vAlign w:val="top"/>
          </w:tcPr>
          <w:p>
            <w:pPr>
              <w:pStyle w:val="87"/>
              <w:tabs>
                <w:tab w:val="left" w:pos="1641"/>
              </w:tabs>
              <w:spacing w:before="100" w:line="221" w:lineRule="auto"/>
              <w:ind w:left="1219"/>
              <w:rPr>
                <w:sz w:val="21"/>
                <w:szCs w:val="21"/>
              </w:rPr>
            </w:pPr>
            <w:r>
              <w:rPr>
                <w:sz w:val="21"/>
                <w:szCs w:val="21"/>
                <w:u w:val="single" w:color="auto"/>
              </w:rPr>
              <w:tab/>
            </w:r>
            <w:r>
              <w:rPr>
                <w:spacing w:val="-92"/>
                <w:sz w:val="21"/>
                <w:szCs w:val="21"/>
              </w:rPr>
              <w:t xml:space="preserve"> </w:t>
            </w:r>
            <w:r>
              <w:rPr>
                <w:b/>
                <w:bCs/>
                <w:spacing w:val="-3"/>
                <w:sz w:val="21"/>
                <w:szCs w:val="21"/>
              </w:rPr>
              <w:t>天</w:t>
            </w:r>
          </w:p>
        </w:tc>
        <w:tc>
          <w:tcPr>
            <w:tcW w:w="1091"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3" w:hRule="atLeast"/>
        </w:trPr>
        <w:tc>
          <w:tcPr>
            <w:tcW w:w="643" w:type="dxa"/>
            <w:vAlign w:val="top"/>
          </w:tcPr>
          <w:p>
            <w:pPr>
              <w:pStyle w:val="87"/>
              <w:spacing w:before="136" w:line="182" w:lineRule="auto"/>
              <w:ind w:left="276"/>
              <w:rPr>
                <w:sz w:val="21"/>
                <w:szCs w:val="21"/>
              </w:rPr>
            </w:pPr>
            <w:r>
              <w:rPr>
                <w:sz w:val="21"/>
                <w:szCs w:val="21"/>
              </w:rPr>
              <w:t>3</w:t>
            </w:r>
          </w:p>
        </w:tc>
        <w:tc>
          <w:tcPr>
            <w:tcW w:w="3783" w:type="dxa"/>
            <w:vAlign w:val="top"/>
          </w:tcPr>
          <w:p>
            <w:pPr>
              <w:pStyle w:val="87"/>
              <w:spacing w:before="100" w:line="221" w:lineRule="auto"/>
              <w:ind w:left="1156"/>
              <w:rPr>
                <w:sz w:val="21"/>
                <w:szCs w:val="21"/>
              </w:rPr>
            </w:pPr>
            <w:r>
              <w:rPr>
                <w:spacing w:val="-1"/>
                <w:sz w:val="21"/>
                <w:szCs w:val="21"/>
              </w:rPr>
              <w:t>施工图设计文件</w:t>
            </w:r>
          </w:p>
        </w:tc>
        <w:tc>
          <w:tcPr>
            <w:tcW w:w="720" w:type="dxa"/>
            <w:vAlign w:val="top"/>
          </w:tcPr>
          <w:p>
            <w:pPr>
              <w:rPr>
                <w:rFonts w:ascii="Arial"/>
                <w:sz w:val="21"/>
              </w:rPr>
            </w:pPr>
          </w:p>
        </w:tc>
        <w:tc>
          <w:tcPr>
            <w:tcW w:w="2884" w:type="dxa"/>
            <w:vAlign w:val="top"/>
          </w:tcPr>
          <w:p>
            <w:pPr>
              <w:pStyle w:val="87"/>
              <w:tabs>
                <w:tab w:val="left" w:pos="1641"/>
              </w:tabs>
              <w:spacing w:before="101" w:line="221" w:lineRule="auto"/>
              <w:ind w:left="1219"/>
              <w:rPr>
                <w:sz w:val="21"/>
                <w:szCs w:val="21"/>
              </w:rPr>
            </w:pPr>
            <w:r>
              <w:rPr>
                <w:sz w:val="21"/>
                <w:szCs w:val="21"/>
                <w:u w:val="single" w:color="auto"/>
              </w:rPr>
              <w:tab/>
            </w:r>
            <w:r>
              <w:rPr>
                <w:spacing w:val="-92"/>
                <w:sz w:val="21"/>
                <w:szCs w:val="21"/>
              </w:rPr>
              <w:t xml:space="preserve"> </w:t>
            </w:r>
            <w:r>
              <w:rPr>
                <w:b/>
                <w:bCs/>
                <w:spacing w:val="-3"/>
                <w:sz w:val="21"/>
                <w:szCs w:val="21"/>
              </w:rPr>
              <w:t>天</w:t>
            </w:r>
          </w:p>
        </w:tc>
        <w:tc>
          <w:tcPr>
            <w:tcW w:w="1091" w:type="dxa"/>
            <w:vMerge w:val="continue"/>
            <w:tcBorders>
              <w:top w:val="nil"/>
            </w:tcBorders>
            <w:vAlign w:val="top"/>
          </w:tcPr>
          <w:p>
            <w:pPr>
              <w:rPr>
                <w:rFonts w:ascii="Arial"/>
                <w:sz w:val="21"/>
              </w:rPr>
            </w:pPr>
          </w:p>
        </w:tc>
      </w:tr>
    </w:tbl>
    <w:p>
      <w:pPr>
        <w:spacing w:line="369" w:lineRule="auto"/>
        <w:rPr>
          <w:rFonts w:ascii="Arial"/>
          <w:sz w:val="21"/>
        </w:rPr>
      </w:pPr>
    </w:p>
    <w:p>
      <w:pPr>
        <w:pStyle w:val="11"/>
        <w:spacing w:before="68" w:line="221" w:lineRule="auto"/>
        <w:ind w:left="209"/>
        <w:rPr>
          <w:sz w:val="21"/>
          <w:szCs w:val="21"/>
        </w:rPr>
      </w:pPr>
      <w:r>
        <w:rPr>
          <w:b/>
          <w:bCs/>
          <w:spacing w:val="-11"/>
          <w:sz w:val="21"/>
          <w:szCs w:val="21"/>
        </w:rPr>
        <w:t>特别约定：</w:t>
      </w:r>
    </w:p>
    <w:p>
      <w:pPr>
        <w:pStyle w:val="11"/>
        <w:spacing w:before="157" w:line="345" w:lineRule="auto"/>
        <w:ind w:left="239" w:right="281" w:firstLine="432"/>
        <w:rPr>
          <w:sz w:val="21"/>
          <w:szCs w:val="21"/>
        </w:rPr>
      </w:pPr>
      <w:r>
        <w:rPr>
          <w:sz w:val="21"/>
          <w:szCs w:val="21"/>
        </w:rPr>
        <w:t>1.在发包人所提供的设计资料（含设计确认单、</w:t>
      </w:r>
      <w:r>
        <w:rPr>
          <w:spacing w:val="-1"/>
          <w:sz w:val="21"/>
          <w:szCs w:val="21"/>
        </w:rPr>
        <w:t>规划部门批文、政府各部门批文等）能满</w:t>
      </w:r>
      <w:r>
        <w:rPr>
          <w:sz w:val="21"/>
          <w:szCs w:val="21"/>
        </w:rPr>
        <w:t xml:space="preserve"> 足设计人进行各阶段设计的前提下开始计算各阶段</w:t>
      </w:r>
      <w:r>
        <w:rPr>
          <w:spacing w:val="-1"/>
          <w:sz w:val="21"/>
          <w:szCs w:val="21"/>
        </w:rPr>
        <w:t>的设计时间。</w:t>
      </w:r>
    </w:p>
    <w:p>
      <w:pPr>
        <w:pStyle w:val="11"/>
        <w:spacing w:before="30" w:line="220" w:lineRule="auto"/>
        <w:ind w:left="658"/>
        <w:rPr>
          <w:sz w:val="21"/>
          <w:szCs w:val="21"/>
        </w:rPr>
      </w:pPr>
      <w:r>
        <w:rPr>
          <w:spacing w:val="-1"/>
          <w:sz w:val="21"/>
          <w:szCs w:val="21"/>
        </w:rPr>
        <w:t>2.上述设计时间不包括法定的节假日。</w:t>
      </w:r>
    </w:p>
    <w:p>
      <w:pPr>
        <w:pStyle w:val="11"/>
        <w:spacing w:before="159" w:line="347" w:lineRule="auto"/>
        <w:ind w:left="235" w:right="225" w:firstLine="424"/>
        <w:rPr>
          <w:sz w:val="21"/>
          <w:szCs w:val="21"/>
        </w:rPr>
      </w:pPr>
      <w:r>
        <w:rPr>
          <w:spacing w:val="-4"/>
          <w:sz w:val="21"/>
          <w:szCs w:val="21"/>
        </w:rPr>
        <w:t>3.图纸交付地点：设计人工作地（或发包人指定地）。发包人要求设计人提供电子版设计文</w:t>
      </w:r>
      <w:r>
        <w:rPr>
          <w:spacing w:val="2"/>
          <w:sz w:val="21"/>
          <w:szCs w:val="21"/>
        </w:rPr>
        <w:t xml:space="preserve"> </w:t>
      </w:r>
      <w:r>
        <w:rPr>
          <w:sz w:val="21"/>
          <w:szCs w:val="21"/>
        </w:rPr>
        <w:t>件时，设计人有权对电子版设计文件采取加密、设</w:t>
      </w:r>
      <w:r>
        <w:rPr>
          <w:spacing w:val="-1"/>
          <w:sz w:val="21"/>
          <w:szCs w:val="21"/>
        </w:rPr>
        <w:t>置访问权限、限期使用等保护措施。</w:t>
      </w:r>
    </w:p>
    <w:p>
      <w:pPr>
        <w:pStyle w:val="11"/>
        <w:spacing w:before="28" w:line="345" w:lineRule="auto"/>
        <w:ind w:left="236" w:right="226" w:firstLine="419"/>
        <w:rPr>
          <w:sz w:val="21"/>
          <w:szCs w:val="21"/>
        </w:rPr>
      </w:pPr>
      <w:r>
        <w:rPr>
          <w:spacing w:val="1"/>
          <w:sz w:val="21"/>
          <w:szCs w:val="21"/>
        </w:rPr>
        <w:t>4.如发包人要求提供超过合同约定份数的工程设计文件，则设计人仍应按发包人的要求提</w:t>
      </w:r>
      <w:r>
        <w:rPr>
          <w:spacing w:val="13"/>
          <w:sz w:val="21"/>
          <w:szCs w:val="21"/>
        </w:rPr>
        <w:t xml:space="preserve"> </w:t>
      </w:r>
      <w:r>
        <w:rPr>
          <w:spacing w:val="-1"/>
          <w:sz w:val="21"/>
          <w:szCs w:val="21"/>
        </w:rPr>
        <w:t>供，但发包人应向设计人支付工本费。</w:t>
      </w:r>
    </w:p>
    <w:p>
      <w:pPr>
        <w:spacing w:line="345" w:lineRule="auto"/>
        <w:rPr>
          <w:sz w:val="21"/>
          <w:szCs w:val="21"/>
        </w:rPr>
        <w:sectPr>
          <w:footerReference r:id="rId14" w:type="default"/>
          <w:pgSz w:w="11907" w:h="16841"/>
          <w:pgMar w:top="400" w:right="1210" w:bottom="1015" w:left="1570" w:header="0" w:footer="851" w:gutter="0"/>
          <w:cols w:space="720" w:num="1"/>
        </w:sectPr>
      </w:pPr>
    </w:p>
    <w:p>
      <w:pPr>
        <w:spacing w:line="245" w:lineRule="auto"/>
        <w:ind w:left="0" w:leftChars="0" w:firstLine="0" w:firstLineChars="0"/>
        <w:rPr>
          <w:rFonts w:ascii="Arial"/>
          <w:sz w:val="21"/>
        </w:rPr>
      </w:pPr>
    </w:p>
    <w:p>
      <w:pPr>
        <w:spacing w:before="91" w:line="222" w:lineRule="auto"/>
        <w:ind w:left="811"/>
        <w:rPr>
          <w:rFonts w:ascii="黑体" w:hAnsi="黑体" w:eastAsia="黑体" w:cs="黑体"/>
          <w:sz w:val="28"/>
          <w:szCs w:val="28"/>
        </w:rPr>
      </w:pPr>
      <w:r>
        <w:rPr>
          <w:rFonts w:ascii="黑体" w:hAnsi="黑体" w:eastAsia="黑体" w:cs="黑体"/>
          <w:b/>
          <w:bCs/>
          <w:spacing w:val="-8"/>
          <w:sz w:val="28"/>
          <w:szCs w:val="28"/>
        </w:rPr>
        <w:t>附件</w:t>
      </w:r>
      <w:r>
        <w:rPr>
          <w:rFonts w:ascii="黑体" w:hAnsi="黑体" w:eastAsia="黑体" w:cs="黑体"/>
          <w:spacing w:val="-65"/>
          <w:sz w:val="28"/>
          <w:szCs w:val="28"/>
        </w:rPr>
        <w:t xml:space="preserve"> </w:t>
      </w:r>
      <w:r>
        <w:rPr>
          <w:rFonts w:ascii="黑体" w:hAnsi="黑体" w:eastAsia="黑体" w:cs="黑体"/>
          <w:b/>
          <w:bCs/>
          <w:spacing w:val="-8"/>
          <w:sz w:val="28"/>
          <w:szCs w:val="28"/>
        </w:rPr>
        <w:t>4</w:t>
      </w:r>
      <w:r>
        <w:rPr>
          <w:rFonts w:ascii="黑体" w:hAnsi="黑体" w:eastAsia="黑体" w:cs="黑体"/>
          <w:spacing w:val="-8"/>
          <w:sz w:val="28"/>
          <w:szCs w:val="28"/>
        </w:rPr>
        <w:t xml:space="preserve"> </w:t>
      </w:r>
      <w:r>
        <w:rPr>
          <w:rFonts w:ascii="黑体" w:hAnsi="黑体" w:eastAsia="黑体" w:cs="黑体"/>
          <w:b/>
          <w:bCs/>
          <w:spacing w:val="-8"/>
          <w:sz w:val="28"/>
          <w:szCs w:val="28"/>
        </w:rPr>
        <w:t>：</w:t>
      </w:r>
    </w:p>
    <w:p>
      <w:pPr>
        <w:spacing w:before="207" w:line="219" w:lineRule="auto"/>
        <w:ind w:left="2373"/>
        <w:rPr>
          <w:rFonts w:ascii="黑体" w:hAnsi="黑体" w:eastAsia="黑体" w:cs="黑体"/>
          <w:sz w:val="28"/>
          <w:szCs w:val="28"/>
        </w:rPr>
      </w:pPr>
      <w:r>
        <w:rPr>
          <w:rFonts w:ascii="黑体" w:hAnsi="黑体" w:eastAsia="黑体" w:cs="黑体"/>
          <w:spacing w:val="-2"/>
          <w:sz w:val="28"/>
          <w:szCs w:val="28"/>
        </w:rPr>
        <w:t>设计人主要设计人员表（适用于市政工程）</w:t>
      </w:r>
    </w:p>
    <w:p>
      <w:pPr>
        <w:spacing w:before="50"/>
        <w:ind w:left="0" w:leftChars="0" w:firstLine="0" w:firstLineChars="0"/>
      </w:pPr>
    </w:p>
    <w:tbl>
      <w:tblPr>
        <w:tblStyle w:val="88"/>
        <w:tblW w:w="9816"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81"/>
        <w:gridCol w:w="1415"/>
        <w:gridCol w:w="1130"/>
        <w:gridCol w:w="1425"/>
        <w:gridCol w:w="396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6" w:hRule="atLeast"/>
        </w:trPr>
        <w:tc>
          <w:tcPr>
            <w:tcW w:w="1881" w:type="dxa"/>
            <w:tcBorders>
              <w:top w:val="single" w:color="000000" w:sz="10" w:space="0"/>
              <w:left w:val="single" w:color="000000" w:sz="10" w:space="0"/>
            </w:tcBorders>
            <w:vAlign w:val="top"/>
          </w:tcPr>
          <w:p>
            <w:pPr>
              <w:pStyle w:val="87"/>
              <w:spacing w:before="239" w:line="223" w:lineRule="auto"/>
              <w:ind w:left="616"/>
              <w:jc w:val="center"/>
              <w:rPr>
                <w:sz w:val="21"/>
                <w:szCs w:val="21"/>
              </w:rPr>
            </w:pPr>
            <w:r>
              <w:rPr>
                <w:spacing w:val="-5"/>
                <w:sz w:val="21"/>
                <w:szCs w:val="21"/>
              </w:rPr>
              <w:t>名</w:t>
            </w:r>
            <w:r>
              <w:rPr>
                <w:spacing w:val="1"/>
                <w:sz w:val="21"/>
                <w:szCs w:val="21"/>
              </w:rPr>
              <w:t xml:space="preserve">    </w:t>
            </w:r>
            <w:r>
              <w:rPr>
                <w:spacing w:val="-5"/>
                <w:sz w:val="21"/>
                <w:szCs w:val="21"/>
              </w:rPr>
              <w:t>称</w:t>
            </w:r>
          </w:p>
        </w:tc>
        <w:tc>
          <w:tcPr>
            <w:tcW w:w="1415" w:type="dxa"/>
            <w:tcBorders>
              <w:top w:val="single" w:color="000000" w:sz="10" w:space="0"/>
            </w:tcBorders>
            <w:vAlign w:val="top"/>
          </w:tcPr>
          <w:p>
            <w:pPr>
              <w:pStyle w:val="87"/>
              <w:spacing w:before="239" w:line="221" w:lineRule="auto"/>
              <w:ind w:left="596"/>
              <w:jc w:val="center"/>
              <w:rPr>
                <w:sz w:val="21"/>
                <w:szCs w:val="21"/>
              </w:rPr>
            </w:pPr>
            <w:r>
              <w:rPr>
                <w:spacing w:val="-2"/>
                <w:sz w:val="21"/>
                <w:szCs w:val="21"/>
              </w:rPr>
              <w:t>姓名</w:t>
            </w:r>
          </w:p>
        </w:tc>
        <w:tc>
          <w:tcPr>
            <w:tcW w:w="1130" w:type="dxa"/>
            <w:tcBorders>
              <w:top w:val="single" w:color="000000" w:sz="10" w:space="0"/>
            </w:tcBorders>
            <w:vAlign w:val="top"/>
          </w:tcPr>
          <w:p>
            <w:pPr>
              <w:pStyle w:val="87"/>
              <w:spacing w:before="239" w:line="221" w:lineRule="auto"/>
              <w:ind w:left="456"/>
              <w:jc w:val="center"/>
              <w:rPr>
                <w:sz w:val="21"/>
                <w:szCs w:val="21"/>
              </w:rPr>
            </w:pPr>
            <w:r>
              <w:rPr>
                <w:spacing w:val="-2"/>
                <w:sz w:val="21"/>
                <w:szCs w:val="21"/>
              </w:rPr>
              <w:t>职务</w:t>
            </w:r>
          </w:p>
        </w:tc>
        <w:tc>
          <w:tcPr>
            <w:tcW w:w="1425" w:type="dxa"/>
            <w:tcBorders>
              <w:top w:val="single" w:color="000000" w:sz="10" w:space="0"/>
            </w:tcBorders>
            <w:vAlign w:val="top"/>
          </w:tcPr>
          <w:p>
            <w:pPr>
              <w:pStyle w:val="87"/>
              <w:spacing w:before="35" w:line="343" w:lineRule="auto"/>
              <w:ind w:left="515" w:right="184" w:hanging="119"/>
              <w:jc w:val="center"/>
              <w:rPr>
                <w:sz w:val="21"/>
                <w:szCs w:val="21"/>
              </w:rPr>
            </w:pPr>
            <w:r>
              <w:rPr>
                <w:spacing w:val="-2"/>
                <w:sz w:val="21"/>
                <w:szCs w:val="21"/>
              </w:rPr>
              <w:t>注册执业</w:t>
            </w:r>
            <w:r>
              <w:rPr>
                <w:spacing w:val="1"/>
                <w:sz w:val="21"/>
                <w:szCs w:val="21"/>
              </w:rPr>
              <w:t xml:space="preserve"> </w:t>
            </w:r>
            <w:r>
              <w:rPr>
                <w:spacing w:val="-4"/>
                <w:sz w:val="21"/>
                <w:szCs w:val="21"/>
              </w:rPr>
              <w:t>资格</w:t>
            </w:r>
          </w:p>
        </w:tc>
        <w:tc>
          <w:tcPr>
            <w:tcW w:w="3965" w:type="dxa"/>
            <w:tcBorders>
              <w:top w:val="single" w:color="000000" w:sz="10" w:space="0"/>
              <w:right w:val="single" w:color="000000" w:sz="10" w:space="0"/>
            </w:tcBorders>
            <w:vAlign w:val="top"/>
          </w:tcPr>
          <w:p>
            <w:pPr>
              <w:pStyle w:val="87"/>
              <w:spacing w:before="239" w:line="221" w:lineRule="auto"/>
              <w:ind w:left="1244"/>
              <w:jc w:val="center"/>
              <w:rPr>
                <w:sz w:val="21"/>
                <w:szCs w:val="21"/>
              </w:rPr>
            </w:pPr>
            <w:r>
              <w:rPr>
                <w:spacing w:val="-1"/>
                <w:sz w:val="21"/>
                <w:szCs w:val="21"/>
              </w:rPr>
              <w:t>承担过的主要项目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3" w:hRule="atLeast"/>
        </w:trPr>
        <w:tc>
          <w:tcPr>
            <w:tcW w:w="9816" w:type="dxa"/>
            <w:gridSpan w:val="5"/>
            <w:tcBorders>
              <w:left w:val="single" w:color="000000" w:sz="10" w:space="0"/>
              <w:right w:val="single" w:color="000000" w:sz="10" w:space="0"/>
            </w:tcBorders>
            <w:vAlign w:val="top"/>
          </w:tcPr>
          <w:p>
            <w:pPr>
              <w:pStyle w:val="87"/>
              <w:spacing w:before="29" w:line="221" w:lineRule="auto"/>
              <w:ind w:left="4376"/>
              <w:jc w:val="center"/>
              <w:rPr>
                <w:sz w:val="21"/>
                <w:szCs w:val="21"/>
              </w:rPr>
            </w:pPr>
            <w:r>
              <w:rPr>
                <w:spacing w:val="-2"/>
                <w:sz w:val="21"/>
                <w:szCs w:val="21"/>
              </w:rPr>
              <w:t>一、总部人员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0" w:hRule="atLeast"/>
        </w:trPr>
        <w:tc>
          <w:tcPr>
            <w:tcW w:w="1881" w:type="dxa"/>
            <w:tcBorders>
              <w:left w:val="single" w:color="000000" w:sz="10" w:space="0"/>
              <w:bottom w:val="single" w:color="000000" w:sz="2" w:space="0"/>
            </w:tcBorders>
            <w:vAlign w:val="top"/>
          </w:tcPr>
          <w:p>
            <w:pPr>
              <w:pStyle w:val="87"/>
              <w:spacing w:before="31" w:line="221" w:lineRule="auto"/>
              <w:ind w:left="617"/>
              <w:jc w:val="center"/>
              <w:rPr>
                <w:sz w:val="21"/>
                <w:szCs w:val="21"/>
              </w:rPr>
            </w:pPr>
            <w:r>
              <w:rPr>
                <w:spacing w:val="-3"/>
                <w:sz w:val="21"/>
                <w:szCs w:val="21"/>
              </w:rPr>
              <w:t>项目主管</w:t>
            </w:r>
          </w:p>
        </w:tc>
        <w:tc>
          <w:tcPr>
            <w:tcW w:w="1415" w:type="dxa"/>
            <w:vAlign w:val="top"/>
          </w:tcPr>
          <w:p>
            <w:pPr>
              <w:jc w:val="center"/>
              <w:rPr>
                <w:rFonts w:ascii="Arial"/>
                <w:sz w:val="21"/>
              </w:rPr>
            </w:pPr>
          </w:p>
        </w:tc>
        <w:tc>
          <w:tcPr>
            <w:tcW w:w="1130" w:type="dxa"/>
            <w:vAlign w:val="top"/>
          </w:tcPr>
          <w:p>
            <w:pPr>
              <w:jc w:val="center"/>
              <w:rPr>
                <w:rFonts w:ascii="Arial"/>
                <w:sz w:val="21"/>
              </w:rPr>
            </w:pPr>
          </w:p>
        </w:tc>
        <w:tc>
          <w:tcPr>
            <w:tcW w:w="1425" w:type="dxa"/>
            <w:vAlign w:val="top"/>
          </w:tcPr>
          <w:p>
            <w:pPr>
              <w:jc w:val="center"/>
              <w:rPr>
                <w:rFonts w:ascii="Arial"/>
                <w:sz w:val="21"/>
              </w:rPr>
            </w:pPr>
          </w:p>
        </w:tc>
        <w:tc>
          <w:tcPr>
            <w:tcW w:w="3965" w:type="dxa"/>
            <w:tcBorders>
              <w:right w:val="single" w:color="000000" w:sz="10" w:space="0"/>
            </w:tcBorders>
            <w:vAlign w:val="top"/>
          </w:tcPr>
          <w:p>
            <w:pPr>
              <w:jc w:val="cente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1" w:hRule="atLeast"/>
        </w:trPr>
        <w:tc>
          <w:tcPr>
            <w:tcW w:w="1881" w:type="dxa"/>
            <w:tcBorders>
              <w:top w:val="single" w:color="000000" w:sz="2" w:space="0"/>
              <w:left w:val="single" w:color="000000" w:sz="10" w:space="0"/>
            </w:tcBorders>
            <w:vAlign w:val="top"/>
          </w:tcPr>
          <w:p>
            <w:pPr>
              <w:pStyle w:val="87"/>
              <w:spacing w:before="34" w:line="221" w:lineRule="auto"/>
              <w:ind w:left="615"/>
              <w:jc w:val="center"/>
              <w:rPr>
                <w:sz w:val="21"/>
                <w:szCs w:val="21"/>
              </w:rPr>
            </w:pPr>
            <w:r>
              <w:rPr>
                <w:spacing w:val="-2"/>
                <w:sz w:val="21"/>
                <w:szCs w:val="21"/>
              </w:rPr>
              <w:t>其他人员</w:t>
            </w:r>
          </w:p>
        </w:tc>
        <w:tc>
          <w:tcPr>
            <w:tcW w:w="1415" w:type="dxa"/>
            <w:vAlign w:val="top"/>
          </w:tcPr>
          <w:p>
            <w:pPr>
              <w:jc w:val="center"/>
              <w:rPr>
                <w:rFonts w:ascii="Arial"/>
                <w:sz w:val="21"/>
              </w:rPr>
            </w:pPr>
          </w:p>
        </w:tc>
        <w:tc>
          <w:tcPr>
            <w:tcW w:w="1130" w:type="dxa"/>
            <w:vAlign w:val="top"/>
          </w:tcPr>
          <w:p>
            <w:pPr>
              <w:jc w:val="center"/>
              <w:rPr>
                <w:rFonts w:ascii="Arial"/>
                <w:sz w:val="21"/>
              </w:rPr>
            </w:pPr>
          </w:p>
        </w:tc>
        <w:tc>
          <w:tcPr>
            <w:tcW w:w="1425" w:type="dxa"/>
            <w:vAlign w:val="top"/>
          </w:tcPr>
          <w:p>
            <w:pPr>
              <w:jc w:val="center"/>
              <w:rPr>
                <w:rFonts w:ascii="Arial"/>
                <w:sz w:val="21"/>
              </w:rPr>
            </w:pPr>
          </w:p>
        </w:tc>
        <w:tc>
          <w:tcPr>
            <w:tcW w:w="3965" w:type="dxa"/>
            <w:tcBorders>
              <w:right w:val="single" w:color="000000" w:sz="10" w:space="0"/>
            </w:tcBorders>
            <w:vAlign w:val="top"/>
          </w:tcPr>
          <w:p>
            <w:pPr>
              <w:jc w:val="cente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3" w:hRule="atLeast"/>
        </w:trPr>
        <w:tc>
          <w:tcPr>
            <w:tcW w:w="9816" w:type="dxa"/>
            <w:gridSpan w:val="5"/>
            <w:tcBorders>
              <w:left w:val="single" w:color="000000" w:sz="10" w:space="0"/>
              <w:right w:val="single" w:color="000000" w:sz="10" w:space="0"/>
            </w:tcBorders>
            <w:vAlign w:val="top"/>
          </w:tcPr>
          <w:p>
            <w:pPr>
              <w:pStyle w:val="87"/>
              <w:spacing w:before="39" w:line="221" w:lineRule="auto"/>
              <w:ind w:left="4271"/>
              <w:jc w:val="center"/>
              <w:rPr>
                <w:sz w:val="21"/>
                <w:szCs w:val="21"/>
              </w:rPr>
            </w:pPr>
            <w:r>
              <w:rPr>
                <w:spacing w:val="-2"/>
                <w:sz w:val="21"/>
                <w:szCs w:val="21"/>
              </w:rPr>
              <w:t>二、项目组成员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0" w:hRule="atLeast"/>
        </w:trPr>
        <w:tc>
          <w:tcPr>
            <w:tcW w:w="1881" w:type="dxa"/>
            <w:tcBorders>
              <w:left w:val="single" w:color="000000" w:sz="10" w:space="0"/>
            </w:tcBorders>
            <w:vAlign w:val="top"/>
          </w:tcPr>
          <w:p>
            <w:pPr>
              <w:pStyle w:val="87"/>
              <w:spacing w:before="37" w:line="221" w:lineRule="auto"/>
              <w:ind w:left="512"/>
              <w:jc w:val="center"/>
              <w:rPr>
                <w:sz w:val="21"/>
                <w:szCs w:val="21"/>
              </w:rPr>
            </w:pPr>
            <w:r>
              <w:rPr>
                <w:spacing w:val="-2"/>
                <w:sz w:val="21"/>
                <w:szCs w:val="21"/>
              </w:rPr>
              <w:t>项目负责人</w:t>
            </w:r>
          </w:p>
        </w:tc>
        <w:tc>
          <w:tcPr>
            <w:tcW w:w="1415" w:type="dxa"/>
            <w:vAlign w:val="top"/>
          </w:tcPr>
          <w:p>
            <w:pPr>
              <w:jc w:val="center"/>
              <w:rPr>
                <w:rFonts w:ascii="Arial"/>
                <w:sz w:val="21"/>
              </w:rPr>
            </w:pPr>
          </w:p>
        </w:tc>
        <w:tc>
          <w:tcPr>
            <w:tcW w:w="1130" w:type="dxa"/>
            <w:vAlign w:val="top"/>
          </w:tcPr>
          <w:p>
            <w:pPr>
              <w:jc w:val="center"/>
              <w:rPr>
                <w:rFonts w:ascii="Arial"/>
                <w:sz w:val="21"/>
              </w:rPr>
            </w:pPr>
          </w:p>
        </w:tc>
        <w:tc>
          <w:tcPr>
            <w:tcW w:w="1425" w:type="dxa"/>
            <w:vAlign w:val="top"/>
          </w:tcPr>
          <w:p>
            <w:pPr>
              <w:jc w:val="center"/>
              <w:rPr>
                <w:rFonts w:ascii="Arial"/>
                <w:sz w:val="21"/>
              </w:rPr>
            </w:pPr>
          </w:p>
        </w:tc>
        <w:tc>
          <w:tcPr>
            <w:tcW w:w="3965" w:type="dxa"/>
            <w:tcBorders>
              <w:right w:val="single" w:color="000000" w:sz="10" w:space="0"/>
            </w:tcBorders>
            <w:vAlign w:val="top"/>
          </w:tcPr>
          <w:p>
            <w:pPr>
              <w:jc w:val="cente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3" w:hRule="atLeast"/>
        </w:trPr>
        <w:tc>
          <w:tcPr>
            <w:tcW w:w="1881" w:type="dxa"/>
            <w:tcBorders>
              <w:left w:val="single" w:color="000000" w:sz="10" w:space="0"/>
            </w:tcBorders>
            <w:vAlign w:val="top"/>
          </w:tcPr>
          <w:p>
            <w:pPr>
              <w:jc w:val="center"/>
              <w:rPr>
                <w:rFonts w:ascii="Arial"/>
                <w:sz w:val="21"/>
              </w:rPr>
            </w:pPr>
          </w:p>
        </w:tc>
        <w:tc>
          <w:tcPr>
            <w:tcW w:w="1415" w:type="dxa"/>
            <w:vAlign w:val="top"/>
          </w:tcPr>
          <w:p>
            <w:pPr>
              <w:jc w:val="center"/>
              <w:rPr>
                <w:rFonts w:ascii="Arial"/>
                <w:sz w:val="21"/>
              </w:rPr>
            </w:pPr>
          </w:p>
        </w:tc>
        <w:tc>
          <w:tcPr>
            <w:tcW w:w="1130" w:type="dxa"/>
            <w:vAlign w:val="top"/>
          </w:tcPr>
          <w:p>
            <w:pPr>
              <w:jc w:val="center"/>
              <w:rPr>
                <w:rFonts w:ascii="Arial"/>
                <w:sz w:val="21"/>
              </w:rPr>
            </w:pPr>
          </w:p>
        </w:tc>
        <w:tc>
          <w:tcPr>
            <w:tcW w:w="1425" w:type="dxa"/>
            <w:vAlign w:val="top"/>
          </w:tcPr>
          <w:p>
            <w:pPr>
              <w:jc w:val="center"/>
              <w:rPr>
                <w:rFonts w:ascii="Arial"/>
                <w:sz w:val="21"/>
              </w:rPr>
            </w:pPr>
          </w:p>
        </w:tc>
        <w:tc>
          <w:tcPr>
            <w:tcW w:w="3965" w:type="dxa"/>
            <w:tcBorders>
              <w:right w:val="single" w:color="000000" w:sz="10" w:space="0"/>
            </w:tcBorders>
            <w:vAlign w:val="top"/>
          </w:tcPr>
          <w:p>
            <w:pPr>
              <w:jc w:val="cente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0" w:hRule="atLeast"/>
        </w:trPr>
        <w:tc>
          <w:tcPr>
            <w:tcW w:w="1881" w:type="dxa"/>
            <w:tcBorders>
              <w:left w:val="single" w:color="000000" w:sz="10" w:space="0"/>
            </w:tcBorders>
            <w:vAlign w:val="top"/>
          </w:tcPr>
          <w:p>
            <w:pPr>
              <w:jc w:val="center"/>
              <w:rPr>
                <w:rFonts w:ascii="Arial"/>
                <w:sz w:val="21"/>
              </w:rPr>
            </w:pPr>
          </w:p>
        </w:tc>
        <w:tc>
          <w:tcPr>
            <w:tcW w:w="1415" w:type="dxa"/>
            <w:vAlign w:val="top"/>
          </w:tcPr>
          <w:p>
            <w:pPr>
              <w:jc w:val="center"/>
              <w:rPr>
                <w:rFonts w:ascii="Arial"/>
                <w:sz w:val="21"/>
              </w:rPr>
            </w:pPr>
          </w:p>
        </w:tc>
        <w:tc>
          <w:tcPr>
            <w:tcW w:w="1130" w:type="dxa"/>
            <w:vAlign w:val="top"/>
          </w:tcPr>
          <w:p>
            <w:pPr>
              <w:jc w:val="center"/>
              <w:rPr>
                <w:rFonts w:ascii="Arial"/>
                <w:sz w:val="21"/>
              </w:rPr>
            </w:pPr>
          </w:p>
        </w:tc>
        <w:tc>
          <w:tcPr>
            <w:tcW w:w="1425" w:type="dxa"/>
            <w:vAlign w:val="top"/>
          </w:tcPr>
          <w:p>
            <w:pPr>
              <w:jc w:val="center"/>
              <w:rPr>
                <w:rFonts w:ascii="Arial"/>
                <w:sz w:val="21"/>
              </w:rPr>
            </w:pPr>
          </w:p>
        </w:tc>
        <w:tc>
          <w:tcPr>
            <w:tcW w:w="3965" w:type="dxa"/>
            <w:tcBorders>
              <w:right w:val="single" w:color="000000" w:sz="10" w:space="0"/>
            </w:tcBorders>
            <w:vAlign w:val="top"/>
          </w:tcPr>
          <w:p>
            <w:pPr>
              <w:jc w:val="cente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3" w:hRule="atLeast"/>
        </w:trPr>
        <w:tc>
          <w:tcPr>
            <w:tcW w:w="1881" w:type="dxa"/>
            <w:tcBorders>
              <w:left w:val="single" w:color="000000" w:sz="10" w:space="0"/>
            </w:tcBorders>
            <w:vAlign w:val="top"/>
          </w:tcPr>
          <w:p>
            <w:pPr>
              <w:jc w:val="center"/>
              <w:rPr>
                <w:rFonts w:ascii="Arial"/>
                <w:sz w:val="21"/>
              </w:rPr>
            </w:pPr>
          </w:p>
        </w:tc>
        <w:tc>
          <w:tcPr>
            <w:tcW w:w="1415" w:type="dxa"/>
            <w:vAlign w:val="top"/>
          </w:tcPr>
          <w:p>
            <w:pPr>
              <w:jc w:val="center"/>
              <w:rPr>
                <w:rFonts w:ascii="Arial"/>
                <w:sz w:val="21"/>
              </w:rPr>
            </w:pPr>
          </w:p>
        </w:tc>
        <w:tc>
          <w:tcPr>
            <w:tcW w:w="1130" w:type="dxa"/>
            <w:vAlign w:val="top"/>
          </w:tcPr>
          <w:p>
            <w:pPr>
              <w:jc w:val="center"/>
              <w:rPr>
                <w:rFonts w:ascii="Arial"/>
                <w:sz w:val="21"/>
              </w:rPr>
            </w:pPr>
          </w:p>
        </w:tc>
        <w:tc>
          <w:tcPr>
            <w:tcW w:w="1425" w:type="dxa"/>
            <w:vAlign w:val="top"/>
          </w:tcPr>
          <w:p>
            <w:pPr>
              <w:jc w:val="center"/>
              <w:rPr>
                <w:rFonts w:ascii="Arial"/>
                <w:sz w:val="21"/>
              </w:rPr>
            </w:pPr>
          </w:p>
        </w:tc>
        <w:tc>
          <w:tcPr>
            <w:tcW w:w="3965" w:type="dxa"/>
            <w:tcBorders>
              <w:right w:val="single" w:color="000000" w:sz="10" w:space="0"/>
            </w:tcBorders>
            <w:vAlign w:val="top"/>
          </w:tcPr>
          <w:p>
            <w:pPr>
              <w:jc w:val="cente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1" w:hRule="atLeast"/>
        </w:trPr>
        <w:tc>
          <w:tcPr>
            <w:tcW w:w="1881" w:type="dxa"/>
            <w:tcBorders>
              <w:left w:val="single" w:color="000000" w:sz="10" w:space="0"/>
            </w:tcBorders>
            <w:vAlign w:val="top"/>
          </w:tcPr>
          <w:p>
            <w:pPr>
              <w:jc w:val="center"/>
              <w:rPr>
                <w:rFonts w:ascii="Arial"/>
                <w:sz w:val="21"/>
              </w:rPr>
            </w:pPr>
          </w:p>
        </w:tc>
        <w:tc>
          <w:tcPr>
            <w:tcW w:w="1415" w:type="dxa"/>
            <w:vAlign w:val="top"/>
          </w:tcPr>
          <w:p>
            <w:pPr>
              <w:jc w:val="center"/>
              <w:rPr>
                <w:rFonts w:ascii="Arial"/>
                <w:sz w:val="21"/>
              </w:rPr>
            </w:pPr>
          </w:p>
        </w:tc>
        <w:tc>
          <w:tcPr>
            <w:tcW w:w="1130" w:type="dxa"/>
            <w:vAlign w:val="top"/>
          </w:tcPr>
          <w:p>
            <w:pPr>
              <w:jc w:val="center"/>
              <w:rPr>
                <w:rFonts w:ascii="Arial"/>
                <w:sz w:val="21"/>
              </w:rPr>
            </w:pPr>
          </w:p>
        </w:tc>
        <w:tc>
          <w:tcPr>
            <w:tcW w:w="1425" w:type="dxa"/>
            <w:vAlign w:val="top"/>
          </w:tcPr>
          <w:p>
            <w:pPr>
              <w:jc w:val="center"/>
              <w:rPr>
                <w:rFonts w:ascii="Arial"/>
                <w:sz w:val="21"/>
              </w:rPr>
            </w:pPr>
          </w:p>
        </w:tc>
        <w:tc>
          <w:tcPr>
            <w:tcW w:w="3965" w:type="dxa"/>
            <w:tcBorders>
              <w:right w:val="single" w:color="000000" w:sz="10" w:space="0"/>
            </w:tcBorders>
            <w:vAlign w:val="top"/>
          </w:tcPr>
          <w:p>
            <w:pPr>
              <w:jc w:val="cente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3" w:hRule="atLeast"/>
        </w:trPr>
        <w:tc>
          <w:tcPr>
            <w:tcW w:w="1881" w:type="dxa"/>
            <w:tcBorders>
              <w:left w:val="single" w:color="000000" w:sz="10" w:space="0"/>
            </w:tcBorders>
            <w:vAlign w:val="top"/>
          </w:tcPr>
          <w:p>
            <w:pPr>
              <w:jc w:val="center"/>
              <w:rPr>
                <w:rFonts w:ascii="Arial"/>
                <w:sz w:val="21"/>
              </w:rPr>
            </w:pPr>
          </w:p>
        </w:tc>
        <w:tc>
          <w:tcPr>
            <w:tcW w:w="1415" w:type="dxa"/>
            <w:vAlign w:val="top"/>
          </w:tcPr>
          <w:p>
            <w:pPr>
              <w:jc w:val="center"/>
              <w:rPr>
                <w:rFonts w:ascii="Arial"/>
                <w:sz w:val="21"/>
              </w:rPr>
            </w:pPr>
          </w:p>
        </w:tc>
        <w:tc>
          <w:tcPr>
            <w:tcW w:w="1130" w:type="dxa"/>
            <w:vAlign w:val="top"/>
          </w:tcPr>
          <w:p>
            <w:pPr>
              <w:jc w:val="center"/>
              <w:rPr>
                <w:rFonts w:ascii="Arial"/>
                <w:sz w:val="21"/>
              </w:rPr>
            </w:pPr>
          </w:p>
        </w:tc>
        <w:tc>
          <w:tcPr>
            <w:tcW w:w="1425" w:type="dxa"/>
            <w:vAlign w:val="top"/>
          </w:tcPr>
          <w:p>
            <w:pPr>
              <w:jc w:val="center"/>
              <w:rPr>
                <w:rFonts w:ascii="Arial"/>
                <w:sz w:val="21"/>
              </w:rPr>
            </w:pPr>
          </w:p>
        </w:tc>
        <w:tc>
          <w:tcPr>
            <w:tcW w:w="3965" w:type="dxa"/>
            <w:tcBorders>
              <w:right w:val="single" w:color="000000" w:sz="10" w:space="0"/>
            </w:tcBorders>
            <w:vAlign w:val="top"/>
          </w:tcPr>
          <w:p>
            <w:pPr>
              <w:jc w:val="cente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2" w:hRule="atLeast"/>
        </w:trPr>
        <w:tc>
          <w:tcPr>
            <w:tcW w:w="1881" w:type="dxa"/>
            <w:tcBorders>
              <w:left w:val="single" w:color="000000" w:sz="10" w:space="0"/>
              <w:bottom w:val="single" w:color="000000" w:sz="10" w:space="0"/>
            </w:tcBorders>
            <w:vAlign w:val="top"/>
          </w:tcPr>
          <w:p>
            <w:pPr>
              <w:jc w:val="center"/>
              <w:rPr>
                <w:rFonts w:ascii="Arial"/>
                <w:sz w:val="21"/>
              </w:rPr>
            </w:pPr>
          </w:p>
        </w:tc>
        <w:tc>
          <w:tcPr>
            <w:tcW w:w="1415" w:type="dxa"/>
            <w:tcBorders>
              <w:bottom w:val="single" w:color="000000" w:sz="10" w:space="0"/>
            </w:tcBorders>
            <w:vAlign w:val="top"/>
          </w:tcPr>
          <w:p>
            <w:pPr>
              <w:jc w:val="center"/>
              <w:rPr>
                <w:rFonts w:ascii="Arial"/>
                <w:sz w:val="21"/>
              </w:rPr>
            </w:pPr>
          </w:p>
        </w:tc>
        <w:tc>
          <w:tcPr>
            <w:tcW w:w="1130" w:type="dxa"/>
            <w:tcBorders>
              <w:bottom w:val="single" w:color="000000" w:sz="10" w:space="0"/>
            </w:tcBorders>
            <w:vAlign w:val="top"/>
          </w:tcPr>
          <w:p>
            <w:pPr>
              <w:jc w:val="center"/>
              <w:rPr>
                <w:rFonts w:ascii="Arial"/>
                <w:sz w:val="21"/>
              </w:rPr>
            </w:pPr>
          </w:p>
        </w:tc>
        <w:tc>
          <w:tcPr>
            <w:tcW w:w="1425" w:type="dxa"/>
            <w:tcBorders>
              <w:bottom w:val="single" w:color="000000" w:sz="10" w:space="0"/>
            </w:tcBorders>
            <w:vAlign w:val="top"/>
          </w:tcPr>
          <w:p>
            <w:pPr>
              <w:jc w:val="center"/>
              <w:rPr>
                <w:rFonts w:ascii="Arial"/>
                <w:sz w:val="21"/>
              </w:rPr>
            </w:pPr>
          </w:p>
        </w:tc>
        <w:tc>
          <w:tcPr>
            <w:tcW w:w="3965" w:type="dxa"/>
            <w:tcBorders>
              <w:bottom w:val="single" w:color="000000" w:sz="10" w:space="0"/>
              <w:right w:val="single" w:color="000000" w:sz="10" w:space="0"/>
            </w:tcBorders>
            <w:vAlign w:val="top"/>
          </w:tcPr>
          <w:p>
            <w:pPr>
              <w:jc w:val="center"/>
              <w:rPr>
                <w:rFonts w:ascii="Arial"/>
                <w:sz w:val="21"/>
              </w:rPr>
            </w:pPr>
          </w:p>
        </w:tc>
      </w:tr>
    </w:tbl>
    <w:p>
      <w:pPr>
        <w:spacing w:line="262" w:lineRule="auto"/>
        <w:rPr>
          <w:rFonts w:ascii="Arial"/>
          <w:sz w:val="21"/>
        </w:rPr>
      </w:pPr>
    </w:p>
    <w:p>
      <w:pPr>
        <w:spacing w:line="262" w:lineRule="auto"/>
        <w:rPr>
          <w:rFonts w:ascii="Arial"/>
          <w:sz w:val="21"/>
        </w:rPr>
      </w:pPr>
    </w:p>
    <w:p>
      <w:pPr>
        <w:spacing w:line="262" w:lineRule="auto"/>
        <w:rPr>
          <w:rFonts w:ascii="Arial"/>
          <w:sz w:val="21"/>
        </w:rPr>
      </w:pPr>
    </w:p>
    <w:p>
      <w:pPr>
        <w:spacing w:line="262" w:lineRule="auto"/>
        <w:rPr>
          <w:rFonts w:ascii="Arial"/>
          <w:sz w:val="21"/>
        </w:rPr>
      </w:pPr>
    </w:p>
    <w:p>
      <w:pPr>
        <w:spacing w:line="262" w:lineRule="auto"/>
        <w:rPr>
          <w:rFonts w:ascii="Arial"/>
          <w:sz w:val="21"/>
        </w:rPr>
      </w:pPr>
    </w:p>
    <w:p>
      <w:pPr>
        <w:spacing w:line="296" w:lineRule="auto"/>
        <w:ind w:left="0" w:leftChars="0" w:firstLine="0" w:firstLineChars="0"/>
        <w:rPr>
          <w:rFonts w:ascii="Arial"/>
          <w:sz w:val="21"/>
        </w:rPr>
      </w:pPr>
    </w:p>
    <w:p>
      <w:pPr>
        <w:spacing w:line="296" w:lineRule="auto"/>
        <w:ind w:left="0" w:leftChars="0" w:firstLine="0" w:firstLineChars="0"/>
        <w:rPr>
          <w:rFonts w:ascii="Arial"/>
          <w:sz w:val="21"/>
        </w:rPr>
      </w:pPr>
    </w:p>
    <w:p>
      <w:pPr>
        <w:spacing w:line="296" w:lineRule="auto"/>
        <w:ind w:left="0" w:leftChars="0" w:firstLine="0" w:firstLineChars="0"/>
        <w:rPr>
          <w:rFonts w:ascii="Arial"/>
          <w:sz w:val="21"/>
        </w:rPr>
      </w:pPr>
    </w:p>
    <w:p>
      <w:pPr>
        <w:rPr>
          <w:rFonts w:ascii="Arial"/>
          <w:sz w:val="21"/>
        </w:rPr>
      </w:pPr>
      <w:r>
        <w:rPr>
          <w:rFonts w:ascii="Arial"/>
          <w:sz w:val="21"/>
        </w:rPr>
        <w:br w:type="page"/>
      </w:r>
    </w:p>
    <w:p>
      <w:pPr>
        <w:spacing w:line="296" w:lineRule="auto"/>
        <w:ind w:left="0" w:leftChars="0" w:firstLine="0" w:firstLineChars="0"/>
        <w:rPr>
          <w:rFonts w:ascii="Arial"/>
          <w:sz w:val="21"/>
        </w:rPr>
      </w:pPr>
    </w:p>
    <w:p>
      <w:pPr>
        <w:spacing w:before="91" w:line="219" w:lineRule="auto"/>
        <w:ind w:left="237"/>
        <w:rPr>
          <w:rFonts w:ascii="黑体" w:hAnsi="黑体" w:eastAsia="黑体" w:cs="黑体"/>
          <w:sz w:val="28"/>
          <w:szCs w:val="28"/>
        </w:rPr>
      </w:pPr>
      <w:r>
        <w:rPr>
          <w:rFonts w:ascii="黑体" w:hAnsi="黑体" w:eastAsia="黑体" w:cs="黑体"/>
          <w:b/>
          <w:bCs/>
          <w:spacing w:val="-3"/>
          <w:sz w:val="28"/>
          <w:szCs w:val="28"/>
        </w:rPr>
        <w:t>附件</w:t>
      </w:r>
      <w:r>
        <w:rPr>
          <w:rFonts w:ascii="黑体" w:hAnsi="黑体" w:eastAsia="黑体" w:cs="黑体"/>
          <w:spacing w:val="-53"/>
          <w:sz w:val="28"/>
          <w:szCs w:val="28"/>
        </w:rPr>
        <w:t xml:space="preserve"> </w:t>
      </w:r>
      <w:r>
        <w:rPr>
          <w:rFonts w:hint="eastAsia" w:ascii="黑体" w:hAnsi="黑体" w:eastAsia="黑体" w:cs="黑体"/>
          <w:b/>
          <w:bCs/>
          <w:spacing w:val="-3"/>
          <w:sz w:val="28"/>
          <w:szCs w:val="28"/>
          <w:lang w:val="en-US" w:eastAsia="zh-CN"/>
        </w:rPr>
        <w:t>5</w:t>
      </w:r>
      <w:r>
        <w:rPr>
          <w:rFonts w:ascii="黑体" w:hAnsi="黑体" w:eastAsia="黑体" w:cs="黑体"/>
          <w:b/>
          <w:bCs/>
          <w:spacing w:val="-3"/>
          <w:sz w:val="28"/>
          <w:szCs w:val="28"/>
        </w:rPr>
        <w:t>：</w:t>
      </w:r>
      <w:r>
        <w:rPr>
          <w:rFonts w:ascii="黑体" w:hAnsi="黑体" w:eastAsia="黑体" w:cs="黑体"/>
          <w:spacing w:val="-3"/>
          <w:sz w:val="28"/>
          <w:szCs w:val="28"/>
        </w:rPr>
        <w:t xml:space="preserve"> 设计变更计费依据和方法</w:t>
      </w:r>
    </w:p>
    <w:p>
      <w:pPr>
        <w:pStyle w:val="11"/>
        <w:spacing w:before="206" w:line="351" w:lineRule="auto"/>
        <w:ind w:left="20" w:right="3" w:firstLine="442"/>
        <w:jc w:val="both"/>
        <w:rPr>
          <w:sz w:val="22"/>
          <w:szCs w:val="22"/>
        </w:rPr>
      </w:pPr>
      <w:r>
        <w:rPr>
          <w:spacing w:val="2"/>
          <w:sz w:val="22"/>
          <w:szCs w:val="22"/>
        </w:rPr>
        <w:t xml:space="preserve">设计文件未通过审批前的修改不计付设计费用；如通过审批后作重大修改、变更，设 </w:t>
      </w:r>
      <w:r>
        <w:rPr>
          <w:spacing w:val="-1"/>
          <w:sz w:val="22"/>
          <w:szCs w:val="22"/>
        </w:rPr>
        <w:t>计变更工作量在原工作量</w:t>
      </w:r>
      <w:r>
        <w:rPr>
          <w:spacing w:val="-41"/>
          <w:sz w:val="22"/>
          <w:szCs w:val="22"/>
        </w:rPr>
        <w:t xml:space="preserve"> </w:t>
      </w:r>
      <w:r>
        <w:rPr>
          <w:spacing w:val="-1"/>
          <w:sz w:val="22"/>
          <w:szCs w:val="22"/>
        </w:rPr>
        <w:t>30%内的不计设计费，超出原工作量</w:t>
      </w:r>
      <w:r>
        <w:rPr>
          <w:spacing w:val="-41"/>
          <w:sz w:val="22"/>
          <w:szCs w:val="22"/>
        </w:rPr>
        <w:t xml:space="preserve"> </w:t>
      </w:r>
      <w:r>
        <w:rPr>
          <w:spacing w:val="-2"/>
          <w:sz w:val="22"/>
          <w:szCs w:val="22"/>
        </w:rPr>
        <w:t>30%部分按原设计收费标准的</w:t>
      </w:r>
      <w:r>
        <w:rPr>
          <w:sz w:val="22"/>
          <w:szCs w:val="22"/>
        </w:rPr>
        <w:t xml:space="preserve"> </w:t>
      </w:r>
      <w:r>
        <w:rPr>
          <w:spacing w:val="-3"/>
          <w:sz w:val="22"/>
          <w:szCs w:val="22"/>
        </w:rPr>
        <w:t>50%计取设计费。</w:t>
      </w:r>
    </w:p>
    <w:p>
      <w:pPr>
        <w:pStyle w:val="11"/>
        <w:spacing w:before="29" w:line="345" w:lineRule="auto"/>
        <w:ind w:left="20" w:right="2" w:firstLine="439"/>
        <w:rPr>
          <w:sz w:val="22"/>
          <w:szCs w:val="22"/>
        </w:rPr>
      </w:pPr>
      <w:r>
        <w:rPr>
          <w:spacing w:val="2"/>
          <w:sz w:val="22"/>
          <w:szCs w:val="22"/>
        </w:rPr>
        <w:t>注：工作量按变更内容对应的投资计量，若是因为设计人原因造成的变更，则不另外</w:t>
      </w:r>
      <w:r>
        <w:rPr>
          <w:spacing w:val="10"/>
          <w:sz w:val="22"/>
          <w:szCs w:val="22"/>
        </w:rPr>
        <w:t xml:space="preserve"> </w:t>
      </w:r>
      <w:r>
        <w:rPr>
          <w:spacing w:val="-2"/>
          <w:sz w:val="22"/>
          <w:szCs w:val="22"/>
        </w:rPr>
        <w:t>计费，后果严重还需追究设计人的违约责任。</w:t>
      </w:r>
    </w:p>
    <w:p>
      <w:pPr>
        <w:spacing w:line="240" w:lineRule="auto"/>
        <w:ind w:firstLine="0"/>
        <w:jc w:val="left"/>
        <w:rPr>
          <w:rFonts w:ascii="仿宋_GB2312" w:eastAsia="仿宋_GB2312" w:hAnsiTheme="minorEastAsia"/>
          <w:b/>
          <w:sz w:val="28"/>
          <w:szCs w:val="28"/>
          <w:highlight w:val="none"/>
        </w:rPr>
      </w:pPr>
      <w:r>
        <w:rPr>
          <w:rFonts w:ascii="仿宋_GB2312" w:eastAsia="仿宋_GB2312" w:hAnsiTheme="minorEastAsia"/>
          <w:b/>
          <w:sz w:val="28"/>
          <w:szCs w:val="28"/>
          <w:highlight w:val="none"/>
        </w:rPr>
        <w:br w:type="page"/>
      </w:r>
    </w:p>
    <w:p>
      <w:pPr>
        <w:spacing w:line="600" w:lineRule="exact"/>
        <w:rPr>
          <w:rFonts w:ascii="仿宋_GB2312" w:eastAsia="仿宋_GB2312" w:hAnsiTheme="minorEastAsia"/>
          <w:sz w:val="28"/>
          <w:szCs w:val="28"/>
          <w:highlight w:val="none"/>
        </w:rPr>
      </w:pPr>
      <w:r>
        <w:rPr>
          <w:rFonts w:hint="eastAsia" w:ascii="仿宋_GB2312" w:eastAsia="仿宋_GB2312" w:hAnsiTheme="minorEastAsia"/>
          <w:sz w:val="28"/>
          <w:szCs w:val="28"/>
          <w:highlight w:val="none"/>
        </w:rPr>
        <w:t>附件</w:t>
      </w:r>
      <w:r>
        <w:rPr>
          <w:rFonts w:hint="eastAsia" w:ascii="仿宋_GB2312" w:eastAsia="仿宋_GB2312" w:hAnsiTheme="minorEastAsia"/>
          <w:sz w:val="28"/>
          <w:szCs w:val="28"/>
          <w:highlight w:val="none"/>
          <w:lang w:val="en-US" w:eastAsia="zh-CN"/>
        </w:rPr>
        <w:t>6</w:t>
      </w:r>
      <w:r>
        <w:rPr>
          <w:rFonts w:ascii="仿宋_GB2312" w:eastAsia="仿宋_GB2312" w:hAnsiTheme="minorEastAsia"/>
          <w:sz w:val="28"/>
          <w:szCs w:val="28"/>
          <w:highlight w:val="none"/>
        </w:rPr>
        <w:t>：</w:t>
      </w:r>
    </w:p>
    <w:p>
      <w:pPr>
        <w:pStyle w:val="32"/>
        <w:ind w:firstLine="2800" w:firstLineChars="1000"/>
        <w:rPr>
          <w:rFonts w:ascii="仿宋_GB2312" w:eastAsia="仿宋_GB2312" w:hAnsiTheme="minorEastAsia"/>
          <w:snapToGrid w:val="0"/>
          <w:sz w:val="28"/>
          <w:szCs w:val="28"/>
          <w:highlight w:val="none"/>
        </w:rPr>
      </w:pPr>
      <w:r>
        <w:rPr>
          <w:rFonts w:hint="eastAsia" w:ascii="仿宋_GB2312" w:eastAsia="仿宋_GB2312" w:hAnsiTheme="minorEastAsia"/>
          <w:snapToGrid w:val="0"/>
          <w:sz w:val="28"/>
          <w:szCs w:val="28"/>
          <w:highlight w:val="none"/>
        </w:rPr>
        <w:t>比选申请报价文件</w:t>
      </w:r>
    </w:p>
    <w:p>
      <w:pPr>
        <w:spacing w:line="500" w:lineRule="exact"/>
        <w:ind w:firstLine="560" w:firstLineChars="200"/>
        <w:rPr>
          <w:rFonts w:ascii="仿宋_GB2312" w:eastAsia="仿宋_GB2312" w:hAnsiTheme="minorEastAsia"/>
          <w:sz w:val="28"/>
          <w:szCs w:val="28"/>
          <w:highlight w:val="none"/>
        </w:rPr>
      </w:pPr>
    </w:p>
    <w:p>
      <w:pPr>
        <w:spacing w:line="500" w:lineRule="exact"/>
        <w:ind w:firstLine="562" w:firstLineChars="200"/>
        <w:rPr>
          <w:rFonts w:ascii="仿宋_GB2312" w:eastAsia="仿宋_GB2312" w:hAnsiTheme="minorEastAsia"/>
          <w:b/>
          <w:sz w:val="28"/>
          <w:szCs w:val="28"/>
          <w:highlight w:val="none"/>
        </w:rPr>
      </w:pPr>
    </w:p>
    <w:p>
      <w:pPr>
        <w:spacing w:line="500" w:lineRule="exact"/>
        <w:ind w:firstLine="562" w:firstLineChars="200"/>
        <w:rPr>
          <w:rFonts w:ascii="仿宋_GB2312" w:eastAsia="仿宋_GB2312" w:hAnsiTheme="minorEastAsia"/>
          <w:b/>
          <w:sz w:val="28"/>
          <w:szCs w:val="28"/>
          <w:highlight w:val="none"/>
        </w:rPr>
      </w:pPr>
    </w:p>
    <w:p>
      <w:pPr>
        <w:spacing w:line="500" w:lineRule="exact"/>
        <w:ind w:firstLine="560" w:firstLineChars="200"/>
        <w:rPr>
          <w:rFonts w:ascii="仿宋_GB2312" w:eastAsia="仿宋_GB2312" w:hAnsiTheme="minorEastAsia"/>
          <w:sz w:val="28"/>
          <w:szCs w:val="28"/>
          <w:highlight w:val="none"/>
        </w:rPr>
      </w:pPr>
    </w:p>
    <w:p>
      <w:pPr>
        <w:spacing w:line="500" w:lineRule="exact"/>
        <w:ind w:firstLine="560" w:firstLineChars="200"/>
        <w:rPr>
          <w:rFonts w:ascii="仿宋_GB2312" w:eastAsia="仿宋_GB2312" w:hAnsiTheme="minorEastAsia"/>
          <w:sz w:val="28"/>
          <w:szCs w:val="28"/>
          <w:highlight w:val="none"/>
        </w:rPr>
      </w:pPr>
    </w:p>
    <w:p>
      <w:pPr>
        <w:spacing w:line="500" w:lineRule="exact"/>
        <w:ind w:firstLine="560" w:firstLineChars="200"/>
        <w:rPr>
          <w:rFonts w:ascii="仿宋_GB2312" w:eastAsia="仿宋_GB2312" w:hAnsiTheme="minorEastAsia"/>
          <w:sz w:val="28"/>
          <w:szCs w:val="28"/>
          <w:highlight w:val="none"/>
        </w:rPr>
      </w:pPr>
    </w:p>
    <w:p>
      <w:pPr>
        <w:rPr>
          <w:highlight w:val="none"/>
        </w:rPr>
      </w:pPr>
      <w:r>
        <w:rPr>
          <w:b/>
          <w:bCs/>
          <w:spacing w:val="20"/>
          <w:sz w:val="48"/>
          <w:szCs w:val="48"/>
          <w:highlight w:val="none"/>
        </w:rPr>
        <w:br w:type="page"/>
      </w:r>
    </w:p>
    <w:p>
      <w:pPr>
        <w:spacing w:before="0" w:after="0" w:afterAutospacing="0"/>
        <w:ind w:right="-57"/>
        <w:rPr>
          <w:rFonts w:ascii="宋体" w:hAnsi="宋体"/>
          <w:b/>
          <w:sz w:val="24"/>
          <w:szCs w:val="24"/>
          <w:highlight w:val="none"/>
        </w:rPr>
      </w:pPr>
      <w:r>
        <w:rPr>
          <w:rFonts w:hint="eastAsia" w:ascii="宋体" w:hAnsi="宋体"/>
          <w:b/>
          <w:sz w:val="24"/>
          <w:szCs w:val="24"/>
          <w:highlight w:val="none"/>
        </w:rPr>
        <w:t>附件</w:t>
      </w:r>
      <w:r>
        <w:rPr>
          <w:rFonts w:hint="eastAsia" w:ascii="宋体" w:hAnsi="宋体"/>
          <w:b/>
          <w:sz w:val="24"/>
          <w:szCs w:val="24"/>
          <w:highlight w:val="none"/>
          <w:lang w:val="en-US" w:eastAsia="zh-CN"/>
        </w:rPr>
        <w:t>7</w:t>
      </w:r>
      <w:r>
        <w:rPr>
          <w:rFonts w:hint="eastAsia" w:ascii="宋体" w:hAnsi="宋体"/>
          <w:b/>
          <w:sz w:val="24"/>
          <w:szCs w:val="24"/>
          <w:highlight w:val="none"/>
        </w:rPr>
        <w:t xml:space="preserve">：              </w:t>
      </w:r>
    </w:p>
    <w:p>
      <w:pPr>
        <w:tabs>
          <w:tab w:val="left" w:pos="640"/>
        </w:tabs>
        <w:spacing w:line="500" w:lineRule="exact"/>
        <w:jc w:val="center"/>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工程</w:t>
      </w:r>
      <w:r>
        <w:rPr>
          <w:rFonts w:hint="eastAsia" w:ascii="方正小标宋简体" w:hAnsi="方正小标宋简体" w:eastAsia="方正小标宋简体" w:cs="方正小标宋简体"/>
          <w:sz w:val="44"/>
          <w:szCs w:val="44"/>
          <w:highlight w:val="none"/>
          <w:lang w:eastAsia="zh-CN"/>
        </w:rPr>
        <w:t>设计</w:t>
      </w:r>
      <w:r>
        <w:rPr>
          <w:rFonts w:hint="eastAsia" w:ascii="方正小标宋简体" w:hAnsi="方正小标宋简体" w:eastAsia="方正小标宋简体" w:cs="方正小标宋简体"/>
          <w:sz w:val="44"/>
          <w:szCs w:val="44"/>
          <w:highlight w:val="none"/>
        </w:rPr>
        <w:t>廉政责任书</w:t>
      </w:r>
    </w:p>
    <w:p>
      <w:pPr>
        <w:tabs>
          <w:tab w:val="left" w:pos="640"/>
        </w:tabs>
        <w:ind w:left="0" w:firstLine="0"/>
        <w:rPr>
          <w:rFonts w:hint="eastAsia" w:ascii="仿宋_GB2312" w:eastAsia="仿宋_GB2312"/>
          <w:sz w:val="32"/>
          <w:highlight w:val="none"/>
        </w:rPr>
      </w:pPr>
    </w:p>
    <w:p>
      <w:pPr>
        <w:tabs>
          <w:tab w:val="left" w:pos="640"/>
        </w:tabs>
        <w:spacing w:line="660" w:lineRule="exact"/>
        <w:rPr>
          <w:rFonts w:hint="eastAsia" w:ascii="仿宋_GB2312" w:eastAsia="仿宋_GB2312"/>
          <w:sz w:val="28"/>
          <w:szCs w:val="28"/>
          <w:highlight w:val="none"/>
        </w:rPr>
      </w:pPr>
      <w:r>
        <w:rPr>
          <w:rFonts w:hint="eastAsia" w:ascii="仿宋_GB2312" w:eastAsia="仿宋_GB2312"/>
          <w:sz w:val="28"/>
          <w:szCs w:val="28"/>
          <w:highlight w:val="none"/>
        </w:rPr>
        <w:t>工程项目名称：</w:t>
      </w:r>
    </w:p>
    <w:p>
      <w:pPr>
        <w:tabs>
          <w:tab w:val="left" w:pos="640"/>
        </w:tabs>
        <w:spacing w:line="660" w:lineRule="exact"/>
        <w:rPr>
          <w:rFonts w:hint="eastAsia" w:ascii="仿宋_GB2312" w:eastAsia="仿宋_GB2312"/>
          <w:sz w:val="28"/>
          <w:szCs w:val="28"/>
          <w:highlight w:val="none"/>
        </w:rPr>
      </w:pPr>
      <w:r>
        <w:rPr>
          <w:rFonts w:hint="eastAsia" w:ascii="仿宋_GB2312" w:eastAsia="仿宋_GB2312"/>
          <w:sz w:val="28"/>
          <w:szCs w:val="28"/>
          <w:highlight w:val="none"/>
        </w:rPr>
        <w:t>工程项目地址：</w:t>
      </w:r>
    </w:p>
    <w:p>
      <w:pPr>
        <w:tabs>
          <w:tab w:val="left" w:pos="640"/>
        </w:tabs>
        <w:spacing w:line="660" w:lineRule="exact"/>
        <w:rPr>
          <w:rFonts w:hint="default" w:ascii="仿宋_GB2312" w:eastAsia="仿宋_GB2312"/>
          <w:sz w:val="28"/>
          <w:szCs w:val="28"/>
          <w:highlight w:val="none"/>
          <w:lang w:val="en-US" w:eastAsia="zh-CN"/>
        </w:rPr>
      </w:pPr>
      <w:r>
        <w:rPr>
          <w:rFonts w:hint="eastAsia" w:ascii="仿宋_GB2312" w:eastAsia="仿宋_GB2312"/>
          <w:sz w:val="28"/>
          <w:szCs w:val="28"/>
          <w:highlight w:val="none"/>
        </w:rPr>
        <w:t>建设单位（甲方）：</w:t>
      </w:r>
    </w:p>
    <w:p>
      <w:pPr>
        <w:tabs>
          <w:tab w:val="left" w:pos="640"/>
        </w:tabs>
        <w:spacing w:line="660" w:lineRule="exact"/>
        <w:rPr>
          <w:rFonts w:hint="eastAsia" w:ascii="仿宋_GB2312" w:eastAsia="仿宋_GB2312"/>
          <w:sz w:val="28"/>
          <w:szCs w:val="28"/>
          <w:highlight w:val="none"/>
        </w:rPr>
      </w:pPr>
      <w:r>
        <w:rPr>
          <w:rFonts w:hint="eastAsia" w:ascii="仿宋_GB2312" w:eastAsia="仿宋_GB2312"/>
          <w:sz w:val="28"/>
          <w:szCs w:val="28"/>
          <w:highlight w:val="none"/>
          <w:lang w:eastAsia="zh-CN"/>
        </w:rPr>
        <w:t>设计</w:t>
      </w:r>
      <w:r>
        <w:rPr>
          <w:rFonts w:hint="eastAsia" w:ascii="仿宋_GB2312" w:eastAsia="仿宋_GB2312"/>
          <w:sz w:val="28"/>
          <w:szCs w:val="28"/>
          <w:highlight w:val="none"/>
        </w:rPr>
        <w:t>单位（乙方）：</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为加强工程建设中的廉政建设，规范工程建设</w:t>
      </w:r>
      <w:r>
        <w:rPr>
          <w:rFonts w:hint="eastAsia" w:ascii="仿宋_GB2312" w:eastAsia="仿宋_GB2312"/>
          <w:sz w:val="28"/>
          <w:szCs w:val="28"/>
          <w:highlight w:val="none"/>
          <w:lang w:eastAsia="zh-CN"/>
        </w:rPr>
        <w:t>设计</w:t>
      </w:r>
      <w:r>
        <w:rPr>
          <w:rFonts w:hint="eastAsia" w:ascii="仿宋_GB2312" w:eastAsia="仿宋_GB2312"/>
          <w:sz w:val="28"/>
          <w:szCs w:val="28"/>
          <w:highlight w:val="none"/>
        </w:rPr>
        <w:t>委托与被委托双方的各项活动，防止发生各种谋取不正当利益的违法违纪行为，保护国家、集体和当事人的合法权益，根据国家有关工程建设的法律法规和廉政建设责任制规定，特订立本廉政责任书。</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第一条  甲乙双方的责任</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（一）应严格遵守国家关于市场准入、项目招标投标、工程建设、</w:t>
      </w:r>
      <w:r>
        <w:rPr>
          <w:rFonts w:hint="eastAsia" w:ascii="仿宋_GB2312" w:eastAsia="仿宋_GB2312"/>
          <w:sz w:val="28"/>
          <w:szCs w:val="28"/>
          <w:highlight w:val="none"/>
          <w:lang w:eastAsia="zh-CN"/>
        </w:rPr>
        <w:t>设计</w:t>
      </w:r>
      <w:r>
        <w:rPr>
          <w:rFonts w:hint="eastAsia" w:ascii="仿宋_GB2312" w:eastAsia="仿宋_GB2312"/>
          <w:sz w:val="28"/>
          <w:szCs w:val="28"/>
          <w:highlight w:val="none"/>
        </w:rPr>
        <w:t>和市场活动的有关法律、法规、相关政策、以及廉政建设的各项规定。</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（二）严格执行建设工程</w:t>
      </w:r>
      <w:r>
        <w:rPr>
          <w:rFonts w:hint="eastAsia" w:ascii="仿宋_GB2312" w:eastAsia="仿宋_GB2312"/>
          <w:sz w:val="28"/>
          <w:szCs w:val="28"/>
          <w:highlight w:val="none"/>
          <w:lang w:eastAsia="zh-CN"/>
        </w:rPr>
        <w:t>设计</w:t>
      </w:r>
      <w:r>
        <w:rPr>
          <w:rFonts w:hint="eastAsia" w:ascii="仿宋_GB2312" w:eastAsia="仿宋_GB2312"/>
          <w:sz w:val="28"/>
          <w:szCs w:val="28"/>
          <w:highlight w:val="none"/>
        </w:rPr>
        <w:t>合同文件，自觉按合同办事。</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（三）业务活动必须坚持公开、公平、公正、诚信、透明的原则（除法律法规另有规定者外），不得损害国家利益、集体利益和对方</w:t>
      </w:r>
      <w:r>
        <w:rPr>
          <w:rFonts w:hint="eastAsia" w:ascii="仿宋_GB2312" w:eastAsia="仿宋_GB2312"/>
          <w:sz w:val="28"/>
          <w:szCs w:val="28"/>
          <w:highlight w:val="none"/>
          <w:lang w:val="en-US" w:eastAsia="zh-CN"/>
        </w:rPr>
        <w:t>的合法利益</w:t>
      </w:r>
      <w:r>
        <w:rPr>
          <w:rFonts w:hint="eastAsia" w:ascii="仿宋_GB2312" w:eastAsia="仿宋_GB2312"/>
          <w:sz w:val="28"/>
          <w:szCs w:val="28"/>
          <w:highlight w:val="none"/>
        </w:rPr>
        <w:t>，不得违反工程建设管理、</w:t>
      </w:r>
      <w:r>
        <w:rPr>
          <w:rFonts w:hint="eastAsia" w:ascii="仿宋_GB2312" w:eastAsia="仿宋_GB2312"/>
          <w:sz w:val="28"/>
          <w:szCs w:val="28"/>
          <w:highlight w:val="none"/>
          <w:lang w:eastAsia="zh-CN"/>
        </w:rPr>
        <w:t>设计</w:t>
      </w:r>
      <w:r>
        <w:rPr>
          <w:rFonts w:hint="eastAsia" w:ascii="仿宋_GB2312" w:eastAsia="仿宋_GB2312"/>
          <w:sz w:val="28"/>
          <w:szCs w:val="28"/>
          <w:highlight w:val="none"/>
        </w:rPr>
        <w:t>的</w:t>
      </w:r>
      <w:r>
        <w:rPr>
          <w:rFonts w:hint="eastAsia" w:ascii="仿宋_GB2312" w:eastAsia="仿宋_GB2312"/>
          <w:sz w:val="28"/>
          <w:szCs w:val="28"/>
          <w:highlight w:val="none"/>
          <w:lang w:val="en-US" w:eastAsia="zh-CN"/>
        </w:rPr>
        <w:t>法律法规及</w:t>
      </w:r>
      <w:r>
        <w:rPr>
          <w:rFonts w:hint="eastAsia" w:ascii="仿宋_GB2312" w:eastAsia="仿宋_GB2312"/>
          <w:sz w:val="28"/>
          <w:szCs w:val="28"/>
          <w:highlight w:val="none"/>
        </w:rPr>
        <w:t>规章制度。</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（四）发现对方在业务活动中有违规、违纪、违法行为的，应及时提醒对方，</w:t>
      </w:r>
      <w:r>
        <w:rPr>
          <w:rFonts w:hint="eastAsia" w:ascii="仿宋_GB2312" w:eastAsia="仿宋_GB2312"/>
          <w:sz w:val="28"/>
          <w:szCs w:val="28"/>
          <w:highlight w:val="none"/>
          <w:lang w:val="en-US" w:eastAsia="zh-CN"/>
        </w:rPr>
        <w:t>并向监管单位报告；</w:t>
      </w:r>
      <w:r>
        <w:rPr>
          <w:rFonts w:hint="eastAsia" w:ascii="仿宋_GB2312" w:eastAsia="仿宋_GB2312"/>
          <w:sz w:val="28"/>
          <w:szCs w:val="28"/>
          <w:highlight w:val="none"/>
        </w:rPr>
        <w:t>情节严重的，应向其上级主管部门或纪检监察、司法等有关机关举报。</w:t>
      </w:r>
    </w:p>
    <w:p>
      <w:pPr>
        <w:numPr>
          <w:ilvl w:val="0"/>
          <w:numId w:val="7"/>
        </w:numPr>
        <w:tabs>
          <w:tab w:val="left" w:pos="640"/>
        </w:tabs>
        <w:spacing w:line="240" w:lineRule="auto"/>
        <w:rPr>
          <w:rFonts w:hint="eastAsia" w:ascii="仿宋_GB2312" w:eastAsia="仿宋_GB2312"/>
          <w:sz w:val="28"/>
          <w:szCs w:val="28"/>
          <w:highlight w:val="none"/>
        </w:rPr>
      </w:pPr>
      <w:r>
        <w:rPr>
          <w:rFonts w:hint="eastAsia" w:ascii="仿宋_GB2312" w:eastAsia="仿宋_GB2312"/>
          <w:sz w:val="28"/>
          <w:szCs w:val="28"/>
          <w:highlight w:val="none"/>
        </w:rPr>
        <w:t>甲方的责任</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甲方</w:t>
      </w:r>
      <w:r>
        <w:rPr>
          <w:rFonts w:hint="eastAsia" w:ascii="仿宋_GB2312" w:eastAsia="仿宋_GB2312"/>
          <w:sz w:val="28"/>
          <w:szCs w:val="28"/>
          <w:highlight w:val="none"/>
          <w:lang w:val="en-US" w:eastAsia="zh-CN"/>
        </w:rPr>
        <w:t>及甲方相关</w:t>
      </w:r>
      <w:r>
        <w:rPr>
          <w:rFonts w:hint="eastAsia" w:ascii="仿宋_GB2312" w:eastAsia="仿宋_GB2312"/>
          <w:sz w:val="28"/>
          <w:szCs w:val="28"/>
          <w:highlight w:val="none"/>
        </w:rPr>
        <w:t>工作人员，在工程建设的事前、事中、事后应遵守以下规定：</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（一）不准向乙方和相关单位索要或接受回扣、礼金、有价证券、贵重物品和好处费、感谢费等。</w:t>
      </w:r>
    </w:p>
    <w:p>
      <w:pPr>
        <w:tabs>
          <w:tab w:val="left" w:pos="640"/>
        </w:tabs>
        <w:ind w:firstLine="560" w:firstLineChars="200"/>
        <w:rPr>
          <w:rFonts w:hint="eastAsia" w:ascii="仿宋_GB2312" w:eastAsia="仿宋_GB2312"/>
          <w:sz w:val="28"/>
          <w:szCs w:val="28"/>
          <w:highlight w:val="none"/>
        </w:rPr>
      </w:pPr>
      <w:r>
        <w:rPr>
          <w:rFonts w:hint="eastAsia" w:ascii="仿宋_GB2312" w:eastAsia="仿宋_GB2312"/>
          <w:sz w:val="28"/>
          <w:szCs w:val="28"/>
          <w:highlight w:val="none"/>
        </w:rPr>
        <w:t>不准以任何理由向乙方和相关单位无偿或</w:t>
      </w:r>
      <w:r>
        <w:rPr>
          <w:rFonts w:hint="eastAsia" w:ascii="仿宋_GB2312" w:eastAsia="仿宋_GB2312"/>
          <w:sz w:val="28"/>
          <w:szCs w:val="28"/>
          <w:highlight w:val="none"/>
          <w:lang w:val="en-US" w:eastAsia="zh-CN"/>
        </w:rPr>
        <w:t>以</w:t>
      </w:r>
      <w:r>
        <w:rPr>
          <w:rFonts w:hint="eastAsia" w:ascii="仿宋_GB2312" w:eastAsia="仿宋_GB2312"/>
          <w:sz w:val="28"/>
          <w:szCs w:val="28"/>
          <w:highlight w:val="none"/>
        </w:rPr>
        <w:t>明显低于市场价格借用房屋、车辆、金钱或其他贵重物品等。</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（二）不准在乙方和相关单位报销任何应由甲方或个人支付的费用。</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（三）不准要求、暗示或接受乙方和相关单位为个人装修住房、婚丧嫁娶、配偶子女的工作安排以及出国（境）、旅游等提供方便。</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（四）不准参加乙方和相关单位</w:t>
      </w:r>
      <w:r>
        <w:rPr>
          <w:rFonts w:hint="eastAsia" w:ascii="仿宋_GB2312" w:eastAsia="仿宋_GB2312"/>
          <w:sz w:val="28"/>
          <w:szCs w:val="28"/>
          <w:highlight w:val="none"/>
          <w:lang w:val="en-US" w:eastAsia="zh-CN"/>
        </w:rPr>
        <w:t>安排的</w:t>
      </w:r>
      <w:r>
        <w:rPr>
          <w:rFonts w:hint="eastAsia" w:ascii="仿宋_GB2312" w:eastAsia="仿宋_GB2312"/>
          <w:sz w:val="28"/>
          <w:szCs w:val="28"/>
          <w:highlight w:val="none"/>
        </w:rPr>
        <w:t>有可能影响公正执行工作任务的的宴请、健身、娱乐等活动。</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（五）不准向乙方和相关单位介绍或为配偶、子女、亲属</w:t>
      </w:r>
      <w:r>
        <w:rPr>
          <w:rFonts w:hint="eastAsia" w:ascii="仿宋_GB2312" w:eastAsia="仿宋_GB2312"/>
          <w:sz w:val="28"/>
          <w:szCs w:val="28"/>
          <w:highlight w:val="none"/>
          <w:lang w:val="en-US" w:eastAsia="zh-CN"/>
        </w:rPr>
        <w:t>介绍</w:t>
      </w:r>
      <w:r>
        <w:rPr>
          <w:rFonts w:hint="eastAsia" w:ascii="仿宋_GB2312" w:eastAsia="仿宋_GB2312"/>
          <w:sz w:val="28"/>
          <w:szCs w:val="28"/>
          <w:highlight w:val="none"/>
        </w:rPr>
        <w:t>参与同甲方工程</w:t>
      </w:r>
      <w:r>
        <w:rPr>
          <w:rFonts w:hint="eastAsia" w:ascii="仿宋_GB2312" w:eastAsia="仿宋_GB2312"/>
          <w:sz w:val="28"/>
          <w:szCs w:val="28"/>
          <w:highlight w:val="none"/>
          <w:lang w:eastAsia="zh-CN"/>
        </w:rPr>
        <w:t>设计</w:t>
      </w:r>
      <w:r>
        <w:rPr>
          <w:rFonts w:hint="eastAsia" w:ascii="仿宋_GB2312" w:eastAsia="仿宋_GB2312"/>
          <w:sz w:val="28"/>
          <w:szCs w:val="28"/>
          <w:highlight w:val="none"/>
        </w:rPr>
        <w:t>合同有关的</w:t>
      </w:r>
      <w:r>
        <w:rPr>
          <w:rFonts w:hint="eastAsia" w:ascii="仿宋_GB2312" w:eastAsia="仿宋_GB2312"/>
          <w:sz w:val="28"/>
          <w:szCs w:val="28"/>
          <w:highlight w:val="none"/>
          <w:lang w:eastAsia="zh-CN"/>
        </w:rPr>
        <w:t>设计</w:t>
      </w:r>
      <w:r>
        <w:rPr>
          <w:rFonts w:hint="eastAsia" w:ascii="仿宋_GB2312" w:eastAsia="仿宋_GB2312"/>
          <w:sz w:val="28"/>
          <w:szCs w:val="28"/>
          <w:highlight w:val="none"/>
        </w:rPr>
        <w:t>业务等活动。不得</w:t>
      </w:r>
      <w:r>
        <w:rPr>
          <w:rFonts w:hint="eastAsia" w:ascii="仿宋_GB2312" w:eastAsia="仿宋_GB2312"/>
          <w:sz w:val="28"/>
          <w:szCs w:val="28"/>
          <w:highlight w:val="none"/>
          <w:lang w:val="en-US" w:eastAsia="zh-CN"/>
        </w:rPr>
        <w:t>以</w:t>
      </w:r>
      <w:r>
        <w:rPr>
          <w:rFonts w:hint="eastAsia" w:ascii="仿宋_GB2312" w:eastAsia="仿宋_GB2312"/>
          <w:sz w:val="28"/>
          <w:szCs w:val="28"/>
          <w:highlight w:val="none"/>
        </w:rPr>
        <w:t>任何理由要求乙方和相关单位在设计中使用</w:t>
      </w:r>
      <w:r>
        <w:rPr>
          <w:rFonts w:hint="eastAsia" w:ascii="仿宋_GB2312" w:eastAsia="仿宋_GB2312"/>
          <w:sz w:val="28"/>
          <w:szCs w:val="28"/>
          <w:highlight w:val="none"/>
          <w:lang w:val="en-US" w:eastAsia="zh-CN"/>
        </w:rPr>
        <w:t>设计</w:t>
      </w:r>
      <w:r>
        <w:rPr>
          <w:rFonts w:hint="eastAsia" w:ascii="仿宋_GB2312" w:eastAsia="仿宋_GB2312"/>
          <w:sz w:val="28"/>
          <w:szCs w:val="28"/>
          <w:highlight w:val="none"/>
        </w:rPr>
        <w:t>合同规定以外</w:t>
      </w:r>
      <w:r>
        <w:rPr>
          <w:rFonts w:hint="eastAsia" w:ascii="仿宋_GB2312" w:eastAsia="仿宋_GB2312"/>
          <w:sz w:val="28"/>
          <w:szCs w:val="28"/>
          <w:highlight w:val="none"/>
          <w:lang w:val="en-US" w:eastAsia="zh-CN"/>
        </w:rPr>
        <w:t>的</w:t>
      </w:r>
      <w:r>
        <w:rPr>
          <w:rFonts w:hint="eastAsia" w:ascii="仿宋_GB2312" w:eastAsia="仿宋_GB2312"/>
          <w:sz w:val="28"/>
          <w:szCs w:val="28"/>
          <w:highlight w:val="none"/>
        </w:rPr>
        <w:t>产品、材料和设备</w:t>
      </w:r>
      <w:r>
        <w:rPr>
          <w:rFonts w:hint="eastAsia" w:ascii="仿宋_GB2312" w:eastAsia="仿宋_GB2312"/>
          <w:sz w:val="28"/>
          <w:szCs w:val="28"/>
          <w:highlight w:val="none"/>
          <w:lang w:val="en-US" w:eastAsia="zh-CN"/>
        </w:rPr>
        <w:t>等</w:t>
      </w:r>
      <w:r>
        <w:rPr>
          <w:rFonts w:hint="eastAsia" w:ascii="仿宋_GB2312" w:eastAsia="仿宋_GB2312"/>
          <w:sz w:val="28"/>
          <w:szCs w:val="28"/>
          <w:highlight w:val="none"/>
        </w:rPr>
        <w:t>。</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第三条  乙方的责任</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应与甲方保持正常的业务交往，按照有关法律法规和程序开展业务工作，严格执行工程建设的有关方针、政策，尤其是有关</w:t>
      </w:r>
      <w:r>
        <w:rPr>
          <w:rFonts w:hint="eastAsia" w:ascii="仿宋_GB2312" w:eastAsia="仿宋_GB2312"/>
          <w:sz w:val="28"/>
          <w:szCs w:val="28"/>
          <w:highlight w:val="none"/>
          <w:lang w:eastAsia="zh-CN"/>
        </w:rPr>
        <w:t>设计</w:t>
      </w:r>
      <w:r>
        <w:rPr>
          <w:rFonts w:hint="eastAsia" w:ascii="仿宋_GB2312" w:eastAsia="仿宋_GB2312"/>
          <w:sz w:val="28"/>
          <w:szCs w:val="28"/>
          <w:highlight w:val="none"/>
        </w:rPr>
        <w:t>的强制性标准和规范，并遵守以下规定：</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kern w:val="2"/>
          <w:sz w:val="28"/>
          <w:szCs w:val="28"/>
          <w:highlight w:val="none"/>
          <w:lang w:val="en-US" w:eastAsia="zh-CN" w:bidi="ar-SA"/>
        </w:rPr>
        <w:t>（一）</w:t>
      </w:r>
      <w:r>
        <w:rPr>
          <w:rFonts w:hint="eastAsia" w:ascii="仿宋_GB2312" w:eastAsia="仿宋_GB2312"/>
          <w:sz w:val="28"/>
          <w:szCs w:val="28"/>
          <w:highlight w:val="none"/>
        </w:rPr>
        <w:t>不准以任何理由向甲方、相关单位及其工作人员赠送礼金、有价证券、贵重物品及回扣、好处费、感谢费等。不准以任何理由向甲方、相关单位及其工作人员无偿或</w:t>
      </w:r>
      <w:r>
        <w:rPr>
          <w:rFonts w:hint="eastAsia" w:ascii="仿宋_GB2312" w:eastAsia="仿宋_GB2312"/>
          <w:sz w:val="28"/>
          <w:szCs w:val="28"/>
          <w:highlight w:val="none"/>
          <w:lang w:val="en-US" w:eastAsia="zh-CN"/>
        </w:rPr>
        <w:t>以</w:t>
      </w:r>
      <w:r>
        <w:rPr>
          <w:rFonts w:hint="eastAsia" w:ascii="仿宋_GB2312" w:eastAsia="仿宋_GB2312"/>
          <w:sz w:val="28"/>
          <w:szCs w:val="28"/>
          <w:highlight w:val="none"/>
        </w:rPr>
        <w:t>明显低于市场价格出借房屋、车辆、金钱或其他贵重物品等。</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（二）不准以任何理由为甲方和相关单位及其工作人员报销应由</w:t>
      </w:r>
      <w:r>
        <w:rPr>
          <w:rFonts w:hint="eastAsia" w:ascii="仿宋_GB2312" w:eastAsia="仿宋_GB2312"/>
          <w:sz w:val="28"/>
          <w:szCs w:val="28"/>
          <w:highlight w:val="none"/>
          <w:lang w:val="en-US" w:eastAsia="zh-CN"/>
        </w:rPr>
        <w:t>甲</w:t>
      </w:r>
      <w:r>
        <w:rPr>
          <w:rFonts w:hint="eastAsia" w:ascii="仿宋_GB2312" w:eastAsia="仿宋_GB2312"/>
          <w:sz w:val="28"/>
          <w:szCs w:val="28"/>
          <w:highlight w:val="none"/>
        </w:rPr>
        <w:t>方或个人支付的费用。</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（三）不准</w:t>
      </w:r>
      <w:r>
        <w:rPr>
          <w:rFonts w:hint="eastAsia" w:ascii="仿宋_GB2312" w:eastAsia="仿宋_GB2312"/>
          <w:sz w:val="28"/>
          <w:szCs w:val="28"/>
          <w:highlight w:val="none"/>
          <w:lang w:val="en-US" w:eastAsia="zh-CN"/>
        </w:rPr>
        <w:t>明示</w:t>
      </w:r>
      <w:r>
        <w:rPr>
          <w:rFonts w:hint="eastAsia" w:ascii="仿宋_GB2312" w:eastAsia="仿宋_GB2312"/>
          <w:sz w:val="28"/>
          <w:szCs w:val="28"/>
          <w:highlight w:val="none"/>
        </w:rPr>
        <w:t>或暗示为甲方、相关单位或个人装修住房、婚丧嫁娶、配偶子女的工作安排以及出国（境）、旅游等提供方便。</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（四）不准以任何理由为甲方、相关单位或个人组织</w:t>
      </w:r>
      <w:r>
        <w:rPr>
          <w:rFonts w:hint="eastAsia" w:ascii="仿宋_GB2312" w:eastAsia="仿宋_GB2312"/>
          <w:sz w:val="28"/>
          <w:szCs w:val="28"/>
          <w:highlight w:val="none"/>
          <w:lang w:val="en-US" w:eastAsia="zh-CN"/>
        </w:rPr>
        <w:t>安排</w:t>
      </w:r>
      <w:r>
        <w:rPr>
          <w:rFonts w:hint="eastAsia" w:ascii="仿宋_GB2312" w:eastAsia="仿宋_GB2312"/>
          <w:sz w:val="28"/>
          <w:szCs w:val="28"/>
          <w:highlight w:val="none"/>
        </w:rPr>
        <w:t>有可能影响公正执行</w:t>
      </w:r>
      <w:r>
        <w:rPr>
          <w:rFonts w:hint="eastAsia" w:ascii="仿宋_GB2312" w:eastAsia="仿宋_GB2312"/>
          <w:sz w:val="28"/>
          <w:szCs w:val="28"/>
          <w:highlight w:val="none"/>
          <w:lang w:val="en-US" w:eastAsia="zh-CN"/>
        </w:rPr>
        <w:t>工作任务</w:t>
      </w:r>
      <w:r>
        <w:rPr>
          <w:rFonts w:hint="eastAsia" w:ascii="仿宋_GB2312" w:eastAsia="仿宋_GB2312"/>
          <w:sz w:val="28"/>
          <w:szCs w:val="28"/>
          <w:highlight w:val="none"/>
        </w:rPr>
        <w:t>的宴请、健身、娱乐等活动。</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第四条  违约责任</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（一）甲方工作人员有违反本责任书第一、二条责任行为的，甲方应按照管理权限，依据有关法律法规和规定给予</w:t>
      </w:r>
      <w:r>
        <w:rPr>
          <w:rFonts w:hint="eastAsia" w:ascii="仿宋_GB2312" w:eastAsia="仿宋_GB2312"/>
          <w:sz w:val="28"/>
          <w:szCs w:val="28"/>
          <w:highlight w:val="none"/>
          <w:lang w:val="en-US" w:eastAsia="zh-CN"/>
        </w:rPr>
        <w:t>追责</w:t>
      </w:r>
      <w:r>
        <w:rPr>
          <w:rFonts w:hint="eastAsia" w:ascii="仿宋_GB2312" w:eastAsia="仿宋_GB2312"/>
          <w:sz w:val="28"/>
          <w:szCs w:val="28"/>
          <w:highlight w:val="none"/>
        </w:rPr>
        <w:t>处理；涉嫌犯罪的，移交司法机关追究刑事责任；给乙方单位造成损失的，应予以赔偿。</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（二）乙方工作人员有违反责任书第一、三条责任行为的，乙方应按照管理权限，依据有关法律法规和规定给予</w:t>
      </w:r>
      <w:r>
        <w:rPr>
          <w:rFonts w:hint="eastAsia" w:ascii="仿宋_GB2312" w:eastAsia="仿宋_GB2312"/>
          <w:sz w:val="28"/>
          <w:szCs w:val="28"/>
          <w:highlight w:val="none"/>
          <w:lang w:val="en-US" w:eastAsia="zh-CN"/>
        </w:rPr>
        <w:t>追责</w:t>
      </w:r>
      <w:r>
        <w:rPr>
          <w:rFonts w:hint="eastAsia" w:ascii="仿宋_GB2312" w:eastAsia="仿宋_GB2312"/>
          <w:sz w:val="28"/>
          <w:szCs w:val="28"/>
          <w:highlight w:val="none"/>
        </w:rPr>
        <w:t>处理；涉嫌犯罪的，移交司法机关追究刑事责任；给甲方单位造成损失的，应予以赔偿。</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第五条  本责任书经双方</w:t>
      </w:r>
      <w:r>
        <w:rPr>
          <w:rFonts w:hint="eastAsia" w:ascii="仿宋_GB2312" w:eastAsia="仿宋_GB2312"/>
          <w:spacing w:val="0"/>
          <w:sz w:val="28"/>
          <w:szCs w:val="28"/>
          <w:highlight w:val="none"/>
          <w:lang w:val="en-US" w:eastAsia="zh-CN"/>
        </w:rPr>
        <w:t>法定代表人或</w:t>
      </w:r>
      <w:r>
        <w:rPr>
          <w:rFonts w:hint="eastAsia" w:ascii="仿宋_GB2312" w:eastAsia="仿宋_GB2312"/>
          <w:sz w:val="28"/>
          <w:szCs w:val="28"/>
          <w:highlight w:val="none"/>
          <w:lang w:val="en-US" w:eastAsia="zh-CN"/>
        </w:rPr>
        <w:t>授权代表签字并加盖双方单位公章</w:t>
      </w:r>
      <w:r>
        <w:rPr>
          <w:rFonts w:hint="eastAsia" w:ascii="仿宋_GB2312" w:eastAsia="仿宋_GB2312"/>
          <w:sz w:val="28"/>
          <w:szCs w:val="28"/>
          <w:highlight w:val="none"/>
        </w:rPr>
        <w:t>后立即生效。</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第六条  本责任书的有效期为双方签署之日起至该工程项目竣工验收合格时止。</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第七条  本责任书一式四份，由甲乙双方各执一份，送交甲乙双方的监督单位各一份。</w:t>
      </w:r>
    </w:p>
    <w:p>
      <w:pPr>
        <w:tabs>
          <w:tab w:val="left" w:pos="640"/>
        </w:tabs>
        <w:ind w:firstLine="645"/>
        <w:rPr>
          <w:rFonts w:hint="eastAsia" w:ascii="仿宋_GB2312" w:eastAsia="仿宋_GB2312"/>
          <w:sz w:val="28"/>
          <w:szCs w:val="28"/>
          <w:highlight w:val="none"/>
        </w:rPr>
      </w:pPr>
    </w:p>
    <w:p>
      <w:pPr>
        <w:tabs>
          <w:tab w:val="left" w:pos="640"/>
        </w:tabs>
        <w:ind w:left="759" w:leftChars="314" w:hanging="100" w:hangingChars="36"/>
        <w:rPr>
          <w:rFonts w:hint="eastAsia" w:ascii="仿宋_GB2312" w:eastAsia="仿宋_GB2312"/>
          <w:sz w:val="28"/>
          <w:szCs w:val="28"/>
          <w:highlight w:val="none"/>
        </w:rPr>
      </w:pPr>
      <w:r>
        <w:rPr>
          <w:rFonts w:hint="eastAsia" w:ascii="仿宋_GB2312" w:eastAsia="仿宋_GB2312"/>
          <w:sz w:val="28"/>
          <w:szCs w:val="28"/>
          <w:highlight w:val="none"/>
        </w:rPr>
        <w:t>甲方单位：（盖章）           乙方单位：（盖章）</w:t>
      </w:r>
    </w:p>
    <w:p>
      <w:pPr>
        <w:tabs>
          <w:tab w:val="left" w:pos="640"/>
        </w:tabs>
        <w:ind w:left="759" w:leftChars="314" w:hanging="100" w:hangingChars="36"/>
        <w:rPr>
          <w:rFonts w:hint="eastAsia" w:ascii="仿宋_GB2312" w:eastAsia="仿宋_GB2312"/>
          <w:spacing w:val="0"/>
          <w:sz w:val="28"/>
          <w:szCs w:val="28"/>
          <w:highlight w:val="none"/>
        </w:rPr>
      </w:pPr>
      <w:r>
        <w:rPr>
          <w:rFonts w:hint="eastAsia" w:ascii="仿宋_GB2312" w:eastAsia="仿宋_GB2312"/>
          <w:spacing w:val="0"/>
          <w:sz w:val="28"/>
          <w:szCs w:val="28"/>
          <w:highlight w:val="none"/>
          <w:lang w:val="en-US" w:eastAsia="zh-CN"/>
        </w:rPr>
        <w:t>法定代表人或                  法定代表人或</w:t>
      </w:r>
    </w:p>
    <w:p>
      <w:pPr>
        <w:tabs>
          <w:tab w:val="left" w:pos="640"/>
        </w:tabs>
        <w:ind w:left="759" w:leftChars="314" w:hanging="100" w:hangingChars="36"/>
        <w:rPr>
          <w:rFonts w:hint="eastAsia" w:ascii="仿宋_GB2312" w:eastAsia="仿宋_GB2312"/>
          <w:spacing w:val="0"/>
          <w:sz w:val="28"/>
          <w:szCs w:val="28"/>
          <w:highlight w:val="none"/>
        </w:rPr>
      </w:pPr>
      <w:r>
        <w:rPr>
          <w:rFonts w:hint="eastAsia" w:ascii="仿宋_GB2312" w:eastAsia="仿宋_GB2312"/>
          <w:spacing w:val="0"/>
          <w:sz w:val="28"/>
          <w:szCs w:val="28"/>
          <w:highlight w:val="none"/>
          <w:lang w:val="en-US" w:eastAsia="zh-CN"/>
        </w:rPr>
        <w:t>授权代表</w:t>
      </w:r>
      <w:r>
        <w:rPr>
          <w:rFonts w:hint="eastAsia" w:ascii="仿宋_GB2312" w:eastAsia="仿宋_GB2312"/>
          <w:spacing w:val="0"/>
          <w:sz w:val="28"/>
          <w:szCs w:val="28"/>
          <w:highlight w:val="none"/>
          <w:lang w:eastAsia="zh-CN"/>
        </w:rPr>
        <w:t>（</w:t>
      </w:r>
      <w:r>
        <w:rPr>
          <w:rFonts w:hint="eastAsia" w:ascii="仿宋_GB2312" w:eastAsia="仿宋_GB2312"/>
          <w:sz w:val="28"/>
          <w:szCs w:val="28"/>
          <w:highlight w:val="none"/>
          <w:lang w:val="en-US" w:eastAsia="zh-CN"/>
        </w:rPr>
        <w:t>签章</w:t>
      </w:r>
      <w:r>
        <w:rPr>
          <w:rFonts w:hint="eastAsia" w:ascii="仿宋_GB2312" w:eastAsia="仿宋_GB2312"/>
          <w:spacing w:val="0"/>
          <w:sz w:val="28"/>
          <w:szCs w:val="28"/>
          <w:highlight w:val="none"/>
          <w:lang w:eastAsia="zh-CN"/>
        </w:rPr>
        <w:t>）</w:t>
      </w:r>
      <w:r>
        <w:rPr>
          <w:rFonts w:hint="eastAsia" w:ascii="仿宋_GB2312" w:eastAsia="仿宋_GB2312"/>
          <w:spacing w:val="0"/>
          <w:sz w:val="28"/>
          <w:szCs w:val="28"/>
          <w:highlight w:val="none"/>
        </w:rPr>
        <w:t>：</w:t>
      </w:r>
      <w:r>
        <w:rPr>
          <w:rFonts w:hint="eastAsia" w:ascii="仿宋_GB2312" w:eastAsia="仿宋_GB2312"/>
          <w:spacing w:val="0"/>
          <w:sz w:val="28"/>
          <w:szCs w:val="28"/>
          <w:highlight w:val="none"/>
          <w:lang w:val="en-US" w:eastAsia="zh-CN"/>
        </w:rPr>
        <w:t xml:space="preserve">             授权代表</w:t>
      </w:r>
      <w:r>
        <w:rPr>
          <w:rFonts w:hint="eastAsia" w:ascii="仿宋_GB2312" w:eastAsia="仿宋_GB2312"/>
          <w:spacing w:val="0"/>
          <w:sz w:val="28"/>
          <w:szCs w:val="28"/>
          <w:highlight w:val="none"/>
          <w:lang w:eastAsia="zh-CN"/>
        </w:rPr>
        <w:t>（</w:t>
      </w:r>
      <w:r>
        <w:rPr>
          <w:rFonts w:hint="eastAsia" w:ascii="仿宋_GB2312" w:eastAsia="仿宋_GB2312"/>
          <w:sz w:val="28"/>
          <w:szCs w:val="28"/>
          <w:highlight w:val="none"/>
          <w:lang w:val="en-US" w:eastAsia="zh-CN"/>
        </w:rPr>
        <w:t>签章</w:t>
      </w:r>
      <w:r>
        <w:rPr>
          <w:rFonts w:hint="eastAsia" w:ascii="仿宋_GB2312" w:eastAsia="仿宋_GB2312"/>
          <w:spacing w:val="0"/>
          <w:sz w:val="28"/>
          <w:szCs w:val="28"/>
          <w:highlight w:val="none"/>
          <w:lang w:eastAsia="zh-CN"/>
        </w:rPr>
        <w:t>）</w:t>
      </w:r>
      <w:r>
        <w:rPr>
          <w:rFonts w:hint="eastAsia" w:ascii="仿宋_GB2312" w:eastAsia="仿宋_GB2312"/>
          <w:spacing w:val="0"/>
          <w:sz w:val="28"/>
          <w:szCs w:val="28"/>
          <w:highlight w:val="none"/>
        </w:rPr>
        <w:t>：</w:t>
      </w:r>
    </w:p>
    <w:p>
      <w:pPr>
        <w:ind w:left="939" w:leftChars="447" w:right="-57" w:firstLine="176" w:firstLineChars="63"/>
        <w:rPr>
          <w:rFonts w:ascii="宋体" w:hAnsi="宋体"/>
          <w:color w:val="000000" w:themeColor="text1"/>
          <w:highlight w:val="none"/>
          <w14:textFill>
            <w14:solidFill>
              <w14:schemeClr w14:val="tx1"/>
            </w14:solidFill>
          </w14:textFill>
        </w:rPr>
      </w:pPr>
      <w:r>
        <w:rPr>
          <w:rFonts w:hint="eastAsia" w:ascii="仿宋_GB2312" w:eastAsia="仿宋_GB2312"/>
          <w:sz w:val="28"/>
          <w:szCs w:val="28"/>
          <w:highlight w:val="none"/>
        </w:rPr>
        <w:t>年   月   日                  年   月   日</w:t>
      </w:r>
    </w:p>
    <w:p>
      <w:pPr>
        <w:pStyle w:val="2"/>
        <w:pageBreakBefore/>
        <w:ind w:right="-57" w:firstLine="0"/>
        <w:jc w:val="center"/>
        <w:rPr>
          <w:rStyle w:val="53"/>
          <w:rFonts w:ascii="宋体" w:hAnsi="宋体" w:eastAsia="宋体"/>
          <w:b w:val="0"/>
          <w:color w:val="000000" w:themeColor="text1"/>
          <w:highlight w:val="none"/>
          <w14:textFill>
            <w14:solidFill>
              <w14:schemeClr w14:val="tx1"/>
            </w14:solidFill>
          </w14:textFill>
        </w:rPr>
      </w:pPr>
      <w:bookmarkStart w:id="1162" w:name="_Toc29546"/>
      <w:bookmarkStart w:id="1163" w:name="_Toc31574"/>
      <w:bookmarkStart w:id="1164" w:name="_Toc17396"/>
      <w:bookmarkStart w:id="1165" w:name="_Toc13167"/>
      <w:bookmarkStart w:id="1166" w:name="_Toc21689"/>
      <w:bookmarkStart w:id="1167" w:name="_Toc28677"/>
      <w:bookmarkStart w:id="1168" w:name="_Toc30920"/>
      <w:bookmarkStart w:id="1169" w:name="_Toc27263"/>
      <w:bookmarkStart w:id="1170" w:name="_Toc17261"/>
      <w:bookmarkStart w:id="1171" w:name="_Toc14790"/>
      <w:bookmarkStart w:id="1172" w:name="_Toc31873"/>
      <w:bookmarkStart w:id="1173" w:name="_Toc26465"/>
      <w:bookmarkStart w:id="1174" w:name="_Toc28285"/>
      <w:bookmarkStart w:id="1175" w:name="_Toc25306"/>
      <w:bookmarkStart w:id="1176" w:name="_Toc32011"/>
      <w:bookmarkStart w:id="1177" w:name="_Toc4374"/>
      <w:bookmarkStart w:id="1178" w:name="_Toc11320"/>
      <w:bookmarkStart w:id="1179" w:name="_Toc6151"/>
      <w:r>
        <w:rPr>
          <w:rStyle w:val="53"/>
          <w:rFonts w:hint="eastAsia" w:ascii="宋体" w:hAnsi="宋体" w:eastAsia="宋体"/>
          <w:b w:val="0"/>
          <w:color w:val="000000" w:themeColor="text1"/>
          <w:highlight w:val="none"/>
          <w14:textFill>
            <w14:solidFill>
              <w14:schemeClr w14:val="tx1"/>
            </w14:solidFill>
          </w14:textFill>
        </w:rPr>
        <w:t>第四章比选申请文件格式</w:t>
      </w:r>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pPr>
        <w:pStyle w:val="2"/>
        <w:spacing w:after="100"/>
        <w:ind w:right="-57" w:firstLine="0"/>
        <w:jc w:val="center"/>
        <w:rPr>
          <w:color w:val="000000" w:themeColor="text1"/>
          <w:sz w:val="24"/>
          <w:szCs w:val="24"/>
          <w:highlight w:val="none"/>
          <w14:textFill>
            <w14:solidFill>
              <w14:schemeClr w14:val="tx1"/>
            </w14:solidFill>
          </w14:textFill>
        </w:rPr>
      </w:pPr>
      <w:bookmarkStart w:id="1180" w:name="_Toc114134662"/>
      <w:bookmarkStart w:id="1181" w:name="_Toc22678"/>
      <w:bookmarkStart w:id="1182" w:name="_Toc26189"/>
      <w:bookmarkStart w:id="1183" w:name="_Toc23261"/>
      <w:bookmarkStart w:id="1184" w:name="_Toc16671"/>
      <w:bookmarkStart w:id="1185" w:name="_Toc361"/>
      <w:bookmarkStart w:id="1186" w:name="_Toc24824"/>
      <w:bookmarkStart w:id="1187" w:name="_Toc32185"/>
      <w:bookmarkStart w:id="1188" w:name="_Toc19412"/>
      <w:bookmarkStart w:id="1189" w:name="_Toc24453"/>
      <w:bookmarkStart w:id="1190" w:name="_Toc4873"/>
      <w:bookmarkStart w:id="1191" w:name="_Toc30705"/>
      <w:bookmarkStart w:id="1192" w:name="_Toc3396"/>
      <w:bookmarkStart w:id="1193" w:name="_Toc492478802"/>
      <w:bookmarkStart w:id="1194" w:name="_Toc6941"/>
      <w:bookmarkStart w:id="1195" w:name="_Toc12983549"/>
      <w:bookmarkStart w:id="1196" w:name="_Toc31624"/>
      <w:bookmarkStart w:id="1197" w:name="_Toc31535"/>
      <w:bookmarkStart w:id="1198" w:name="_Toc22709"/>
      <w:bookmarkStart w:id="1199" w:name="_Toc25325"/>
      <w:bookmarkStart w:id="1200" w:name="_Toc12984805"/>
      <w:bookmarkStart w:id="1201" w:name="_Toc414290520"/>
      <w:bookmarkStart w:id="1202" w:name="_Toc21274"/>
      <w:bookmarkStart w:id="1203" w:name="_Toc4027"/>
      <w:r>
        <w:rPr>
          <w:color w:val="000000" w:themeColor="text1"/>
          <w:sz w:val="24"/>
          <w:szCs w:val="24"/>
          <w:highlight w:val="none"/>
          <w14:textFill>
            <w14:solidFill>
              <w14:schemeClr w14:val="tx1"/>
            </w14:solidFill>
          </w14:textFill>
        </w:rPr>
        <w:t>A  资格审查</w:t>
      </w:r>
      <w:r>
        <w:rPr>
          <w:rFonts w:hint="eastAsia"/>
          <w:color w:val="000000" w:themeColor="text1"/>
          <w:sz w:val="24"/>
          <w:szCs w:val="24"/>
          <w:highlight w:val="none"/>
          <w14:textFill>
            <w14:solidFill>
              <w14:schemeClr w14:val="tx1"/>
            </w14:solidFill>
          </w14:textFill>
        </w:rPr>
        <w:t>文件</w:t>
      </w:r>
      <w:bookmarkEnd w:id="1180"/>
      <w:bookmarkEnd w:id="1181"/>
      <w:bookmarkEnd w:id="1182"/>
    </w:p>
    <w:p>
      <w:pPr>
        <w:spacing w:before="0" w:after="0" w:afterAutospacing="0"/>
        <w:ind w:left="0" w:right="0" w:firstLine="422" w:firstLineChars="200"/>
        <w:jc w:val="left"/>
        <w:rPr>
          <w:rFonts w:ascii="宋体" w:hAnsi="宋体"/>
          <w:b/>
          <w:color w:val="000000" w:themeColor="text1"/>
          <w:highlight w:val="none"/>
          <w14:textFill>
            <w14:solidFill>
              <w14:schemeClr w14:val="tx1"/>
            </w14:solidFill>
          </w14:textFill>
        </w:rPr>
      </w:pPr>
      <w:r>
        <w:rPr>
          <w:rFonts w:ascii="宋体" w:hAnsi="宋体"/>
          <w:b/>
          <w:color w:val="000000" w:themeColor="text1"/>
          <w:highlight w:val="none"/>
          <w14:textFill>
            <w14:solidFill>
              <w14:schemeClr w14:val="tx1"/>
            </w14:solidFill>
          </w14:textFill>
        </w:rPr>
        <w:t>资格审查文件格式</w:t>
      </w:r>
    </w:p>
    <w:p>
      <w:pPr>
        <w:spacing w:before="0" w:after="0" w:afterAutospacing="0"/>
        <w:ind w:left="0" w:right="0" w:firstLine="420" w:firstLineChars="200"/>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（1）法定代表人授权书（格式见A1）及法定代表人资格证明书（如无授权时，只需提供法定代表人资格证明书，格式见A2），法定代表人及被授权人身份证复印件；</w:t>
      </w:r>
    </w:p>
    <w:p>
      <w:pPr>
        <w:spacing w:before="0" w:after="0" w:afterAutospacing="0"/>
        <w:ind w:left="0" w:right="0" w:firstLine="420" w:firstLineChars="200"/>
        <w:rPr>
          <w:rFonts w:hint="eastAsia" w:hAnsi="宋体" w:eastAsia="宋体"/>
          <w:color w:val="000000" w:themeColor="text1"/>
          <w:highlight w:val="none"/>
          <w:lang w:eastAsia="zh-CN"/>
          <w14:textFill>
            <w14:solidFill>
              <w14:schemeClr w14:val="tx1"/>
            </w14:solidFill>
          </w14:textFill>
        </w:rPr>
      </w:pPr>
      <w:r>
        <w:rPr>
          <w:rFonts w:hint="eastAsia" w:hAnsi="宋体"/>
          <w:color w:val="000000" w:themeColor="text1"/>
          <w:highlight w:val="none"/>
          <w14:textFill>
            <w14:solidFill>
              <w14:schemeClr w14:val="tx1"/>
            </w14:solidFill>
          </w14:textFill>
        </w:rPr>
        <w:t>（2）比选申请人有效的营业执照</w:t>
      </w:r>
      <w:r>
        <w:rPr>
          <w:rFonts w:hint="eastAsia" w:hAnsi="宋体"/>
          <w:color w:val="000000" w:themeColor="text1"/>
          <w:highlight w:val="none"/>
          <w:lang w:eastAsia="zh-CN"/>
          <w14:textFill>
            <w14:solidFill>
              <w14:schemeClr w14:val="tx1"/>
            </w14:solidFill>
          </w14:textFill>
        </w:rPr>
        <w:t>；</w:t>
      </w:r>
    </w:p>
    <w:p>
      <w:pPr>
        <w:spacing w:before="0" w:after="0" w:afterAutospacing="0"/>
        <w:ind w:left="0" w:right="0" w:firstLine="420" w:firstLineChars="200"/>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（3）承诺书（格式见A3）；</w:t>
      </w:r>
    </w:p>
    <w:p>
      <w:pPr>
        <w:spacing w:before="0" w:after="0" w:afterAutospacing="0"/>
        <w:ind w:left="0" w:right="0" w:firstLine="420" w:firstLineChars="200"/>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（4）类似项目业绩表（A4）；</w:t>
      </w:r>
    </w:p>
    <w:p>
      <w:pPr>
        <w:spacing w:before="0" w:after="0" w:afterAutospacing="0"/>
        <w:ind w:left="0" w:right="0" w:firstLine="420" w:firstLineChars="200"/>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（5）比选申请人认为应提交的其他比选申请资料（如有）。</w:t>
      </w:r>
    </w:p>
    <w:p>
      <w:pPr>
        <w:spacing w:before="0" w:after="0" w:afterAutospacing="0"/>
        <w:ind w:left="0" w:right="0" w:firstLine="420" w:firstLineChars="200"/>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注：</w:t>
      </w:r>
      <w:r>
        <w:rPr>
          <w:rFonts w:hAnsi="宋体"/>
          <w:color w:val="000000" w:themeColor="text1"/>
          <w:highlight w:val="none"/>
          <w14:textFill>
            <w14:solidFill>
              <w14:schemeClr w14:val="tx1"/>
            </w14:solidFill>
          </w14:textFill>
        </w:rPr>
        <w:t>以上提供的复印件必须加盖比选申请人公章。</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pPr>
        <w:spacing w:before="0" w:after="0" w:afterAutospacing="0"/>
        <w:ind w:left="0" w:right="0" w:firstLine="420" w:firstLineChars="200"/>
        <w:rPr>
          <w:rFonts w:hAnsi="宋体"/>
          <w:color w:val="000000" w:themeColor="text1"/>
          <w:highlight w:val="none"/>
          <w14:textFill>
            <w14:solidFill>
              <w14:schemeClr w14:val="tx1"/>
            </w14:solidFill>
          </w14:textFill>
        </w:rPr>
        <w:sectPr>
          <w:footerReference r:id="rId15" w:type="default"/>
          <w:pgSz w:w="11905" w:h="16838"/>
          <w:pgMar w:top="1417" w:right="1417" w:bottom="1417" w:left="1417" w:header="454" w:footer="567" w:gutter="0"/>
          <w:cols w:space="720" w:num="1"/>
          <w:docGrid w:linePitch="312" w:charSpace="0"/>
        </w:sectPr>
      </w:pPr>
    </w:p>
    <w:p>
      <w:pPr>
        <w:numPr>
          <w:ilvl w:val="1"/>
          <w:numId w:val="8"/>
        </w:numPr>
        <w:snapToGrid w:val="0"/>
        <w:spacing w:before="0" w:line="240" w:lineRule="auto"/>
        <w:ind w:right="0" w:firstLine="0"/>
        <w:jc w:val="left"/>
        <w:outlineLvl w:val="0"/>
        <w:rPr>
          <w:rFonts w:ascii="宋体" w:hAnsi="宋体"/>
          <w:b/>
          <w:color w:val="000000" w:themeColor="text1"/>
          <w:highlight w:val="none"/>
          <w14:textFill>
            <w14:solidFill>
              <w14:schemeClr w14:val="tx1"/>
            </w14:solidFill>
          </w14:textFill>
        </w:rPr>
      </w:pPr>
      <w:bookmarkStart w:id="1204" w:name="_Toc956"/>
      <w:bookmarkStart w:id="1205" w:name="_Toc24436"/>
      <w:bookmarkStart w:id="1206" w:name="_Toc22533"/>
      <w:bookmarkStart w:id="1207" w:name="_Toc375564351"/>
      <w:bookmarkStart w:id="1208" w:name="_Toc414290522"/>
      <w:bookmarkStart w:id="1209" w:name="_Toc25750675"/>
      <w:bookmarkStart w:id="1210" w:name="_Toc29312"/>
      <w:bookmarkStart w:id="1211" w:name="_Toc12984807"/>
      <w:bookmarkStart w:id="1212" w:name="_Toc10789"/>
      <w:bookmarkStart w:id="1213" w:name="_Toc10433"/>
      <w:bookmarkStart w:id="1214" w:name="_Toc15696"/>
      <w:bookmarkStart w:id="1215" w:name="_Toc7057"/>
      <w:bookmarkStart w:id="1216" w:name="_Toc32455"/>
      <w:bookmarkStart w:id="1217" w:name="_Toc9658"/>
      <w:bookmarkStart w:id="1218" w:name="_Toc20029"/>
      <w:bookmarkStart w:id="1219" w:name="_Toc20283"/>
      <w:bookmarkStart w:id="1220" w:name="_Toc3499"/>
      <w:bookmarkStart w:id="1221" w:name="_Toc10238"/>
      <w:bookmarkStart w:id="1222" w:name="_Toc13389"/>
      <w:bookmarkStart w:id="1223" w:name="_Toc20671"/>
      <w:bookmarkStart w:id="1224" w:name="_Toc4125"/>
      <w:bookmarkStart w:id="1225" w:name="_Toc114134663"/>
      <w:bookmarkStart w:id="1226" w:name="_Toc16089"/>
      <w:bookmarkStart w:id="1227" w:name="_Toc492478804"/>
      <w:bookmarkStart w:id="1228" w:name="_Toc18243"/>
      <w:bookmarkStart w:id="1229" w:name="_Toc8868"/>
      <w:r>
        <w:rPr>
          <w:rFonts w:ascii="宋体" w:hAnsi="宋体"/>
          <w:b/>
          <w:color w:val="000000" w:themeColor="text1"/>
          <w:highlight w:val="none"/>
          <w14:textFill>
            <w14:solidFill>
              <w14:schemeClr w14:val="tx1"/>
            </w14:solidFill>
          </w14:textFill>
        </w:rPr>
        <w:t>法定代表人授权书格式</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p>
    <w:p>
      <w:pPr>
        <w:spacing w:before="240" w:after="240"/>
        <w:ind w:right="0" w:firstLine="0"/>
        <w:jc w:val="center"/>
        <w:rPr>
          <w:rFonts w:ascii="宋体" w:hAnsi="宋体"/>
          <w:b/>
          <w:color w:val="000000" w:themeColor="text1"/>
          <w:sz w:val="32"/>
          <w:szCs w:val="32"/>
          <w:highlight w:val="none"/>
          <w14:textFill>
            <w14:solidFill>
              <w14:schemeClr w14:val="tx1"/>
            </w14:solidFill>
          </w14:textFill>
        </w:rPr>
      </w:pPr>
    </w:p>
    <w:p>
      <w:pPr>
        <w:spacing w:before="240" w:after="240"/>
        <w:ind w:right="0" w:firstLine="0"/>
        <w:jc w:val="center"/>
        <w:rPr>
          <w:rFonts w:ascii="宋体" w:hAnsi="宋体"/>
          <w:b/>
          <w:color w:val="000000" w:themeColor="text1"/>
          <w:sz w:val="32"/>
          <w:szCs w:val="32"/>
          <w:highlight w:val="none"/>
          <w14:textFill>
            <w14:solidFill>
              <w14:schemeClr w14:val="tx1"/>
            </w14:solidFill>
          </w14:textFill>
        </w:rPr>
      </w:pPr>
      <w:r>
        <w:rPr>
          <w:rFonts w:ascii="宋体" w:hAnsi="宋体"/>
          <w:b/>
          <w:color w:val="000000" w:themeColor="text1"/>
          <w:sz w:val="32"/>
          <w:szCs w:val="32"/>
          <w:highlight w:val="none"/>
          <w14:textFill>
            <w14:solidFill>
              <w14:schemeClr w14:val="tx1"/>
            </w14:solidFill>
          </w14:textFill>
        </w:rPr>
        <w:t>法定代表人授权书</w:t>
      </w:r>
    </w:p>
    <w:p>
      <w:pPr>
        <w:tabs>
          <w:tab w:val="left" w:pos="8364"/>
        </w:tabs>
        <w:snapToGrid w:val="0"/>
        <w:ind w:left="500" w:right="0" w:hanging="499"/>
        <w:rPr>
          <w:rFonts w:hint="eastAsia" w:ascii="宋体" w:hAnsi="宋体" w:eastAsia="宋体"/>
          <w:color w:val="000000" w:themeColor="text1"/>
          <w:highlight w:val="none"/>
          <w:lang w:eastAsia="zh-CN"/>
          <w14:textFill>
            <w14:solidFill>
              <w14:schemeClr w14:val="tx1"/>
            </w14:solidFill>
          </w14:textFill>
        </w:rPr>
      </w:pPr>
      <w:r>
        <w:rPr>
          <w:rFonts w:ascii="宋体" w:hAnsi="宋体"/>
          <w:color w:val="000000" w:themeColor="text1"/>
          <w:highlight w:val="none"/>
          <w14:textFill>
            <w14:solidFill>
              <w14:schemeClr w14:val="tx1"/>
            </w14:solidFill>
          </w14:textFill>
        </w:rPr>
        <w:t>致：</w:t>
      </w:r>
      <w:r>
        <w:rPr>
          <w:rFonts w:hint="eastAsia" w:ascii="宋体" w:hAnsi="宋体"/>
          <w:color w:val="000000" w:themeColor="text1"/>
          <w:highlight w:val="none"/>
          <w:lang w:eastAsia="zh-CN"/>
          <w14:textFill>
            <w14:solidFill>
              <w14:schemeClr w14:val="tx1"/>
            </w14:solidFill>
          </w14:textFill>
        </w:rPr>
        <w:t>南宁兴邕城市更新有限责任公司</w:t>
      </w:r>
    </w:p>
    <w:p>
      <w:pPr>
        <w:tabs>
          <w:tab w:val="left" w:pos="8364"/>
        </w:tabs>
        <w:snapToGrid w:val="0"/>
        <w:ind w:left="497" w:leftChars="200" w:right="0" w:hanging="77" w:hangingChars="37"/>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本授权书声明：注册于</w:t>
      </w:r>
      <w:r>
        <w:rPr>
          <w:rFonts w:ascii="宋体" w:hAnsi="宋体"/>
          <w:color w:val="000000" w:themeColor="text1"/>
          <w:highlight w:val="none"/>
          <w:u w:val="single"/>
          <w14:textFill>
            <w14:solidFill>
              <w14:schemeClr w14:val="tx1"/>
            </w14:solidFill>
          </w14:textFill>
        </w:rPr>
        <w:t>(国家或地区)</w:t>
      </w:r>
      <w:r>
        <w:rPr>
          <w:rFonts w:ascii="宋体" w:hAnsi="宋体"/>
          <w:color w:val="000000" w:themeColor="text1"/>
          <w:highlight w:val="none"/>
          <w14:textFill>
            <w14:solidFill>
              <w14:schemeClr w14:val="tx1"/>
            </w14:solidFill>
          </w14:textFill>
        </w:rPr>
        <w:t>的</w:t>
      </w:r>
      <w:r>
        <w:rPr>
          <w:rFonts w:ascii="宋体" w:hAnsi="宋体"/>
          <w:color w:val="000000" w:themeColor="text1"/>
          <w:highlight w:val="none"/>
          <w:u w:val="single"/>
          <w14:textFill>
            <w14:solidFill>
              <w14:schemeClr w14:val="tx1"/>
            </w14:solidFill>
          </w14:textFill>
        </w:rPr>
        <w:t>（比选申请人名称）</w:t>
      </w:r>
      <w:r>
        <w:rPr>
          <w:rFonts w:ascii="宋体" w:hAnsi="宋体"/>
          <w:color w:val="000000" w:themeColor="text1"/>
          <w:highlight w:val="none"/>
          <w14:textFill>
            <w14:solidFill>
              <w14:schemeClr w14:val="tx1"/>
            </w14:solidFill>
          </w14:textFill>
        </w:rPr>
        <w:t>在下面签字</w:t>
      </w:r>
      <w:r>
        <w:rPr>
          <w:rFonts w:hint="eastAsia" w:ascii="宋体" w:hAnsi="宋体"/>
          <w:color w:val="000000" w:themeColor="text1"/>
          <w:highlight w:val="none"/>
          <w14:textFill>
            <w14:solidFill>
              <w14:schemeClr w14:val="tx1"/>
            </w14:solidFill>
          </w14:textFill>
        </w:rPr>
        <w:t>或盖章</w:t>
      </w:r>
      <w:r>
        <w:rPr>
          <w:rFonts w:ascii="宋体" w:hAnsi="宋体"/>
          <w:color w:val="000000" w:themeColor="text1"/>
          <w:highlight w:val="none"/>
          <w14:textFill>
            <w14:solidFill>
              <w14:schemeClr w14:val="tx1"/>
            </w14:solidFill>
          </w14:textFill>
        </w:rPr>
        <w:t>的</w:t>
      </w:r>
      <w:r>
        <w:rPr>
          <w:rFonts w:ascii="宋体" w:hAnsi="宋体"/>
          <w:color w:val="000000" w:themeColor="text1"/>
          <w:highlight w:val="none"/>
          <w:u w:val="single"/>
          <w14:textFill>
            <w14:solidFill>
              <w14:schemeClr w14:val="tx1"/>
            </w14:solidFill>
          </w14:textFill>
        </w:rPr>
        <w:t>（法定代表人姓名、职务）</w:t>
      </w:r>
      <w:r>
        <w:rPr>
          <w:rFonts w:ascii="宋体" w:hAnsi="宋体"/>
          <w:color w:val="000000" w:themeColor="text1"/>
          <w:highlight w:val="none"/>
          <w14:textFill>
            <w14:solidFill>
              <w14:schemeClr w14:val="tx1"/>
            </w14:solidFill>
          </w14:textFill>
        </w:rPr>
        <w:t>代表本公司授权在下面签字</w:t>
      </w:r>
      <w:r>
        <w:rPr>
          <w:rFonts w:hint="eastAsia" w:ascii="宋体" w:hAnsi="宋体"/>
          <w:color w:val="000000" w:themeColor="text1"/>
          <w:highlight w:val="none"/>
          <w14:textFill>
            <w14:solidFill>
              <w14:schemeClr w14:val="tx1"/>
            </w14:solidFill>
          </w14:textFill>
        </w:rPr>
        <w:t>或盖章</w:t>
      </w:r>
      <w:r>
        <w:rPr>
          <w:rFonts w:ascii="宋体" w:hAnsi="宋体"/>
          <w:color w:val="000000" w:themeColor="text1"/>
          <w:highlight w:val="none"/>
          <w14:textFill>
            <w14:solidFill>
              <w14:schemeClr w14:val="tx1"/>
            </w14:solidFill>
          </w14:textFill>
        </w:rPr>
        <w:t>的</w:t>
      </w:r>
      <w:r>
        <w:rPr>
          <w:rFonts w:ascii="宋体" w:hAnsi="宋体"/>
          <w:color w:val="000000" w:themeColor="text1"/>
          <w:highlight w:val="none"/>
          <w:u w:val="single"/>
          <w14:textFill>
            <w14:solidFill>
              <w14:schemeClr w14:val="tx1"/>
            </w14:solidFill>
          </w14:textFill>
        </w:rPr>
        <w:t>（被授权人的姓名、职务）</w:t>
      </w:r>
      <w:r>
        <w:rPr>
          <w:rFonts w:ascii="宋体" w:hAnsi="宋体"/>
          <w:color w:val="000000" w:themeColor="text1"/>
          <w:highlight w:val="none"/>
          <w14:textFill>
            <w14:solidFill>
              <w14:schemeClr w14:val="tx1"/>
            </w14:solidFill>
          </w14:textFill>
        </w:rPr>
        <w:t>为本公司的合法代理人，就</w:t>
      </w:r>
      <w:r>
        <w:rPr>
          <w:rFonts w:ascii="宋体" w:hAnsi="宋体"/>
          <w:color w:val="000000" w:themeColor="text1"/>
          <w:highlight w:val="none"/>
          <w:u w:val="single"/>
          <w14:textFill>
            <w14:solidFill>
              <w14:schemeClr w14:val="tx1"/>
            </w14:solidFill>
          </w14:textFill>
        </w:rPr>
        <w:t>XXXX</w:t>
      </w:r>
      <w:r>
        <w:rPr>
          <w:rFonts w:ascii="宋体" w:hAnsi="宋体"/>
          <w:color w:val="000000" w:themeColor="text1"/>
          <w:highlight w:val="none"/>
          <w14:textFill>
            <w14:solidFill>
              <w14:schemeClr w14:val="tx1"/>
            </w14:solidFill>
          </w14:textFill>
        </w:rPr>
        <w:t>项目的比选申请和合同执行，作为比选申请人代表以本公司的名义处理一切与之有关的事宜。</w:t>
      </w:r>
    </w:p>
    <w:p>
      <w:pPr>
        <w:tabs>
          <w:tab w:val="left" w:pos="8364"/>
        </w:tabs>
        <w:snapToGrid w:val="0"/>
        <w:ind w:right="0" w:firstLine="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本授权书于年月日签字生效，特此声明。</w:t>
      </w:r>
    </w:p>
    <w:p>
      <w:pPr>
        <w:tabs>
          <w:tab w:val="left" w:pos="8364"/>
        </w:tabs>
        <w:snapToGrid w:val="0"/>
        <w:ind w:right="0" w:firstLine="200"/>
        <w:rPr>
          <w:rFonts w:ascii="宋体" w:hAnsi="宋体"/>
          <w:color w:val="000000" w:themeColor="text1"/>
          <w:highlight w:val="none"/>
          <w14:textFill>
            <w14:solidFill>
              <w14:schemeClr w14:val="tx1"/>
            </w14:solidFill>
          </w14:textFill>
        </w:rPr>
      </w:pPr>
    </w:p>
    <w:p>
      <w:pPr>
        <w:tabs>
          <w:tab w:val="left" w:pos="8364"/>
        </w:tabs>
        <w:snapToGrid w:val="0"/>
        <w:ind w:right="0" w:firstLine="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法定代表人签字或盖章：</w:t>
      </w:r>
    </w:p>
    <w:p>
      <w:pPr>
        <w:tabs>
          <w:tab w:val="left" w:pos="8364"/>
        </w:tabs>
        <w:snapToGrid w:val="0"/>
        <w:ind w:right="0" w:firstLine="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职务：</w:t>
      </w:r>
    </w:p>
    <w:p>
      <w:pPr>
        <w:tabs>
          <w:tab w:val="left" w:pos="8364"/>
        </w:tabs>
        <w:snapToGrid w:val="0"/>
        <w:ind w:right="0" w:firstLine="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单位名称：</w:t>
      </w:r>
      <w:r>
        <w:rPr>
          <w:rFonts w:ascii="宋体" w:hAnsi="宋体"/>
          <w:color w:val="000000" w:themeColor="text1"/>
          <w:highlight w:val="none"/>
          <w:u w:val="single"/>
          <w14:textFill>
            <w14:solidFill>
              <w14:schemeClr w14:val="tx1"/>
            </w14:solidFill>
          </w14:textFill>
        </w:rPr>
        <w:t>（公章）</w:t>
      </w:r>
    </w:p>
    <w:p>
      <w:pPr>
        <w:tabs>
          <w:tab w:val="left" w:pos="8364"/>
        </w:tabs>
        <w:snapToGrid w:val="0"/>
        <w:ind w:right="0" w:firstLine="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地址：</w:t>
      </w:r>
    </w:p>
    <w:p>
      <w:pPr>
        <w:tabs>
          <w:tab w:val="left" w:pos="8364"/>
        </w:tabs>
        <w:snapToGrid w:val="0"/>
        <w:ind w:right="0" w:firstLine="200"/>
        <w:rPr>
          <w:rFonts w:ascii="宋体" w:hAnsi="宋体"/>
          <w:color w:val="000000" w:themeColor="text1"/>
          <w:highlight w:val="none"/>
          <w14:textFill>
            <w14:solidFill>
              <w14:schemeClr w14:val="tx1"/>
            </w14:solidFill>
          </w14:textFill>
        </w:rPr>
      </w:pPr>
    </w:p>
    <w:p>
      <w:pPr>
        <w:tabs>
          <w:tab w:val="left" w:pos="8364"/>
        </w:tabs>
        <w:snapToGrid w:val="0"/>
        <w:ind w:right="0" w:firstLine="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比选申请人代表（被授权人）签字或盖章：</w:t>
      </w:r>
    </w:p>
    <w:p>
      <w:pPr>
        <w:tabs>
          <w:tab w:val="left" w:pos="8364"/>
        </w:tabs>
        <w:snapToGrid w:val="0"/>
        <w:ind w:right="0" w:firstLine="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职务：</w:t>
      </w:r>
    </w:p>
    <w:p>
      <w:pPr>
        <w:tabs>
          <w:tab w:val="left" w:pos="8364"/>
        </w:tabs>
        <w:snapToGrid w:val="0"/>
        <w:ind w:right="0" w:firstLine="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单位名称：</w:t>
      </w:r>
      <w:r>
        <w:rPr>
          <w:rFonts w:ascii="宋体" w:hAnsi="宋体"/>
          <w:color w:val="000000" w:themeColor="text1"/>
          <w:highlight w:val="none"/>
          <w:u w:val="single"/>
          <w14:textFill>
            <w14:solidFill>
              <w14:schemeClr w14:val="tx1"/>
            </w14:solidFill>
          </w14:textFill>
        </w:rPr>
        <w:t>（公章）</w:t>
      </w:r>
    </w:p>
    <w:p>
      <w:pPr>
        <w:tabs>
          <w:tab w:val="left" w:pos="8364"/>
        </w:tabs>
        <w:snapToGrid w:val="0"/>
        <w:ind w:right="0" w:firstLine="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地址：</w:t>
      </w:r>
    </w:p>
    <w:p>
      <w:pPr>
        <w:spacing w:before="0"/>
        <w:ind w:right="0" w:firstLine="135"/>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附：授权代理人身份证复印件</w:t>
      </w:r>
    </w:p>
    <w:p>
      <w:pPr>
        <w:tabs>
          <w:tab w:val="left" w:pos="8364"/>
        </w:tabs>
        <w:snapToGrid w:val="0"/>
        <w:ind w:right="0" w:firstLine="200"/>
        <w:rPr>
          <w:rFonts w:ascii="宋体" w:hAnsi="宋体"/>
          <w:color w:val="000000" w:themeColor="text1"/>
          <w:highlight w:val="none"/>
          <w:u w:val="single"/>
          <w14:textFill>
            <w14:solidFill>
              <w14:schemeClr w14:val="tx1"/>
            </w14:solidFill>
          </w14:textFill>
        </w:rPr>
      </w:pPr>
    </w:p>
    <w:p>
      <w:pPr>
        <w:numPr>
          <w:ilvl w:val="1"/>
          <w:numId w:val="8"/>
        </w:numPr>
        <w:snapToGrid w:val="0"/>
        <w:spacing w:before="0" w:line="240" w:lineRule="auto"/>
        <w:ind w:right="0" w:firstLine="0"/>
        <w:jc w:val="left"/>
        <w:outlineLvl w:val="0"/>
        <w:rPr>
          <w:rFonts w:ascii="宋体" w:hAnsi="宋体"/>
          <w:b/>
          <w:color w:val="000000" w:themeColor="text1"/>
          <w:highlight w:val="none"/>
          <w14:textFill>
            <w14:solidFill>
              <w14:schemeClr w14:val="tx1"/>
            </w14:solidFill>
          </w14:textFill>
        </w:rPr>
      </w:pPr>
      <w:bookmarkStart w:id="1230" w:name="_Toc20436"/>
      <w:bookmarkStart w:id="1231" w:name="_Toc13798"/>
      <w:bookmarkStart w:id="1232" w:name="_Toc15980"/>
      <w:bookmarkStart w:id="1233" w:name="_Toc25750676"/>
      <w:bookmarkStart w:id="1234" w:name="_Toc27657"/>
      <w:bookmarkStart w:id="1235" w:name="_Toc414290523"/>
      <w:bookmarkStart w:id="1236" w:name="_Toc3938"/>
      <w:bookmarkStart w:id="1237" w:name="_Toc7273"/>
      <w:bookmarkStart w:id="1238" w:name="_Toc8405"/>
      <w:bookmarkStart w:id="1239" w:name="_Toc19744"/>
      <w:bookmarkStart w:id="1240" w:name="_Toc13606"/>
      <w:bookmarkStart w:id="1241" w:name="_Toc27722"/>
      <w:bookmarkStart w:id="1242" w:name="_Toc24322"/>
      <w:bookmarkStart w:id="1243" w:name="_Toc375564352"/>
      <w:bookmarkStart w:id="1244" w:name="_Toc114134664"/>
      <w:bookmarkStart w:id="1245" w:name="_Toc13634"/>
      <w:bookmarkStart w:id="1246" w:name="_Toc12984808"/>
      <w:bookmarkStart w:id="1247" w:name="_Toc31808"/>
      <w:bookmarkStart w:id="1248" w:name="_Toc8654"/>
      <w:bookmarkStart w:id="1249" w:name="_Toc17964"/>
      <w:bookmarkStart w:id="1250" w:name="_Toc9757"/>
      <w:bookmarkStart w:id="1251" w:name="_Toc9583"/>
      <w:bookmarkStart w:id="1252" w:name="_Toc492478805"/>
      <w:bookmarkStart w:id="1253" w:name="_Toc15572"/>
      <w:bookmarkStart w:id="1254" w:name="_Toc7753"/>
      <w:bookmarkStart w:id="1255" w:name="_Toc26713"/>
      <w:r>
        <w:rPr>
          <w:rFonts w:ascii="宋体" w:hAnsi="宋体"/>
          <w:b/>
          <w:color w:val="000000" w:themeColor="text1"/>
          <w:highlight w:val="none"/>
          <w14:textFill>
            <w14:solidFill>
              <w14:schemeClr w14:val="tx1"/>
            </w14:solidFill>
          </w14:textFill>
        </w:rPr>
        <w:t>法定代表人资格证明书格式</w:t>
      </w:r>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pPr>
        <w:ind w:right="0" w:firstLine="200"/>
        <w:rPr>
          <w:rFonts w:ascii="宋体" w:hAnsi="宋体"/>
          <w:color w:val="000000" w:themeColor="text1"/>
          <w:highlight w:val="none"/>
          <w14:textFill>
            <w14:solidFill>
              <w14:schemeClr w14:val="tx1"/>
            </w14:solidFill>
          </w14:textFill>
        </w:rPr>
      </w:pPr>
    </w:p>
    <w:p>
      <w:pPr>
        <w:spacing w:before="240" w:after="240"/>
        <w:ind w:right="0" w:firstLine="0"/>
        <w:jc w:val="center"/>
        <w:rPr>
          <w:rFonts w:ascii="宋体" w:hAnsi="宋体"/>
          <w:b/>
          <w:color w:val="000000" w:themeColor="text1"/>
          <w:sz w:val="32"/>
          <w:szCs w:val="32"/>
          <w:highlight w:val="none"/>
          <w14:textFill>
            <w14:solidFill>
              <w14:schemeClr w14:val="tx1"/>
            </w14:solidFill>
          </w14:textFill>
        </w:rPr>
      </w:pPr>
      <w:r>
        <w:rPr>
          <w:rFonts w:ascii="宋体" w:hAnsi="宋体"/>
          <w:b/>
          <w:color w:val="000000" w:themeColor="text1"/>
          <w:sz w:val="32"/>
          <w:szCs w:val="32"/>
          <w:highlight w:val="none"/>
          <w14:textFill>
            <w14:solidFill>
              <w14:schemeClr w14:val="tx1"/>
            </w14:solidFill>
          </w14:textFill>
        </w:rPr>
        <w:t>法定代表人资格证明书</w:t>
      </w:r>
    </w:p>
    <w:p>
      <w:pPr>
        <w:ind w:right="0" w:firstLine="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单位名称：</w:t>
      </w:r>
    </w:p>
    <w:p>
      <w:pPr>
        <w:ind w:right="0" w:firstLine="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地址：</w:t>
      </w:r>
    </w:p>
    <w:p>
      <w:pPr>
        <w:ind w:right="0" w:firstLine="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姓名：性别：年龄：职务：</w:t>
      </w:r>
    </w:p>
    <w:p>
      <w:pPr>
        <w:ind w:right="0" w:firstLine="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系的法定代表人。</w:t>
      </w:r>
    </w:p>
    <w:p>
      <w:pPr>
        <w:ind w:right="0" w:firstLine="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特此证明。</w:t>
      </w:r>
    </w:p>
    <w:p>
      <w:pPr>
        <w:ind w:right="0" w:firstLine="200"/>
        <w:rPr>
          <w:rFonts w:ascii="宋体" w:hAnsi="宋体"/>
          <w:color w:val="000000" w:themeColor="text1"/>
          <w:highlight w:val="none"/>
          <w14:textFill>
            <w14:solidFill>
              <w14:schemeClr w14:val="tx1"/>
            </w14:solidFill>
          </w14:textFill>
        </w:rPr>
      </w:pPr>
    </w:p>
    <w:p>
      <w:pPr>
        <w:ind w:right="0" w:firstLine="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比选申请人：（盖章）</w:t>
      </w:r>
    </w:p>
    <w:p>
      <w:pPr>
        <w:ind w:right="0" w:firstLine="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日期：年月日</w:t>
      </w:r>
    </w:p>
    <w:p>
      <w:pPr>
        <w:rPr>
          <w:rFonts w:ascii="宋体" w:hAnsi="宋体"/>
          <w:b/>
          <w:color w:val="000000" w:themeColor="text1"/>
          <w:highlight w:val="none"/>
          <w14:textFill>
            <w14:solidFill>
              <w14:schemeClr w14:val="tx1"/>
            </w14:solidFill>
          </w14:textFill>
        </w:rPr>
      </w:pPr>
      <w:bookmarkStart w:id="1256" w:name="_Toc12984809"/>
      <w:r>
        <w:rPr>
          <w:rFonts w:hint="eastAsia" w:ascii="宋体" w:hAnsi="宋体"/>
          <w:b/>
          <w:color w:val="000000" w:themeColor="text1"/>
          <w:highlight w:val="none"/>
          <w14:textFill>
            <w14:solidFill>
              <w14:schemeClr w14:val="tx1"/>
            </w14:solidFill>
          </w14:textFill>
        </w:rPr>
        <w:t>附</w:t>
      </w:r>
      <w:r>
        <w:rPr>
          <w:rFonts w:ascii="宋体" w:hAnsi="宋体"/>
          <w:b/>
          <w:color w:val="000000" w:themeColor="text1"/>
          <w:highlight w:val="none"/>
          <w14:textFill>
            <w14:solidFill>
              <w14:schemeClr w14:val="tx1"/>
            </w14:solidFill>
          </w14:textFill>
        </w:rPr>
        <w:t xml:space="preserve">: </w:t>
      </w:r>
      <w:r>
        <w:rPr>
          <w:rFonts w:hint="eastAsia" w:ascii="宋体" w:hAnsi="宋体"/>
          <w:b/>
          <w:color w:val="000000" w:themeColor="text1"/>
          <w:highlight w:val="none"/>
          <w14:textFill>
            <w14:solidFill>
              <w14:schemeClr w14:val="tx1"/>
            </w14:solidFill>
          </w14:textFill>
        </w:rPr>
        <w:t>法人身份证复印件</w:t>
      </w:r>
    </w:p>
    <w:p>
      <w:pPr>
        <w:pageBreakBefore/>
        <w:snapToGrid w:val="0"/>
        <w:ind w:right="0" w:firstLine="0"/>
        <w:jc w:val="left"/>
        <w:outlineLvl w:val="0"/>
        <w:rPr>
          <w:rFonts w:ascii="宋体" w:hAnsi="宋体"/>
          <w:b/>
          <w:color w:val="000000" w:themeColor="text1"/>
          <w:highlight w:val="none"/>
          <w14:textFill>
            <w14:solidFill>
              <w14:schemeClr w14:val="tx1"/>
            </w14:solidFill>
          </w14:textFill>
        </w:rPr>
      </w:pPr>
      <w:bookmarkStart w:id="1257" w:name="_Toc21307"/>
      <w:bookmarkStart w:id="1258" w:name="_Toc1932"/>
      <w:bookmarkStart w:id="1259" w:name="_Toc32062"/>
      <w:bookmarkStart w:id="1260" w:name="_Toc29246"/>
      <w:bookmarkStart w:id="1261" w:name="_Toc7712"/>
      <w:bookmarkStart w:id="1262" w:name="_Toc114134665"/>
      <w:bookmarkStart w:id="1263" w:name="_Toc11425"/>
      <w:bookmarkStart w:id="1264" w:name="_Toc17745"/>
      <w:bookmarkStart w:id="1265" w:name="_Toc3426"/>
      <w:bookmarkStart w:id="1266" w:name="_Toc25750677"/>
      <w:bookmarkStart w:id="1267" w:name="_Toc19721"/>
      <w:bookmarkStart w:id="1268" w:name="_Toc16467"/>
      <w:bookmarkStart w:id="1269" w:name="_Toc414290524"/>
      <w:bookmarkStart w:id="1270" w:name="_Toc24848"/>
      <w:bookmarkStart w:id="1271" w:name="_Toc4894"/>
      <w:bookmarkStart w:id="1272" w:name="_Toc15609"/>
      <w:bookmarkStart w:id="1273" w:name="_Toc26907"/>
      <w:bookmarkStart w:id="1274" w:name="_Toc375564353"/>
      <w:bookmarkStart w:id="1275" w:name="_Toc6033"/>
      <w:bookmarkStart w:id="1276" w:name="_Toc5002"/>
      <w:bookmarkStart w:id="1277" w:name="_Toc26097"/>
      <w:bookmarkStart w:id="1278" w:name="_Toc31448"/>
      <w:bookmarkStart w:id="1279" w:name="_Toc3504"/>
      <w:bookmarkStart w:id="1280" w:name="_Toc492478806"/>
      <w:bookmarkStart w:id="1281" w:name="_Toc15394"/>
      <w:r>
        <w:rPr>
          <w:rFonts w:hint="eastAsia" w:ascii="宋体" w:hAnsi="宋体"/>
          <w:b/>
          <w:color w:val="000000" w:themeColor="text1"/>
          <w:highlight w:val="none"/>
          <w14:textFill>
            <w14:solidFill>
              <w14:schemeClr w14:val="tx1"/>
            </w14:solidFill>
          </w14:textFill>
        </w:rPr>
        <w:t xml:space="preserve">A3 </w:t>
      </w:r>
      <w:r>
        <w:rPr>
          <w:rFonts w:ascii="宋体" w:hAnsi="宋体"/>
          <w:b/>
          <w:color w:val="000000" w:themeColor="text1"/>
          <w:highlight w:val="none"/>
          <w14:textFill>
            <w14:solidFill>
              <w14:schemeClr w14:val="tx1"/>
            </w14:solidFill>
          </w14:textFill>
        </w:rPr>
        <w:t>承诺书格式</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pPr>
        <w:spacing w:before="240" w:after="240" w:line="360" w:lineRule="exact"/>
        <w:ind w:right="0" w:firstLine="0"/>
        <w:jc w:val="center"/>
        <w:rPr>
          <w:rFonts w:ascii="宋体" w:hAnsi="宋体"/>
          <w:b/>
          <w:color w:val="000000" w:themeColor="text1"/>
          <w:sz w:val="32"/>
          <w:szCs w:val="32"/>
          <w:highlight w:val="none"/>
          <w14:textFill>
            <w14:solidFill>
              <w14:schemeClr w14:val="tx1"/>
            </w14:solidFill>
          </w14:textFill>
        </w:rPr>
      </w:pPr>
      <w:r>
        <w:rPr>
          <w:rFonts w:ascii="宋体" w:hAnsi="宋体"/>
          <w:b/>
          <w:color w:val="000000" w:themeColor="text1"/>
          <w:sz w:val="32"/>
          <w:szCs w:val="32"/>
          <w:highlight w:val="none"/>
          <w14:textFill>
            <w14:solidFill>
              <w14:schemeClr w14:val="tx1"/>
            </w14:solidFill>
          </w14:textFill>
        </w:rPr>
        <w:t>承诺书</w:t>
      </w:r>
    </w:p>
    <w:p>
      <w:pPr>
        <w:spacing w:before="0" w:after="0" w:afterAutospacing="0"/>
        <w:ind w:left="0" w:right="0" w:firstLine="420" w:firstLineChars="200"/>
        <w:jc w:val="left"/>
        <w:rPr>
          <w:rFonts w:hint="eastAsia" w:ascii="宋体" w:hAnsi="宋体" w:eastAsia="宋体"/>
          <w:color w:val="000000" w:themeColor="text1"/>
          <w:highlight w:val="none"/>
          <w:u w:val="single"/>
          <w:lang w:eastAsia="zh-CN"/>
          <w14:textFill>
            <w14:solidFill>
              <w14:schemeClr w14:val="tx1"/>
            </w14:solidFill>
          </w14:textFill>
        </w:rPr>
      </w:pPr>
      <w:r>
        <w:rPr>
          <w:rFonts w:ascii="宋体" w:hAnsi="宋体"/>
          <w:color w:val="000000" w:themeColor="text1"/>
          <w:highlight w:val="none"/>
          <w14:textFill>
            <w14:solidFill>
              <w14:schemeClr w14:val="tx1"/>
            </w14:solidFill>
          </w14:textFill>
        </w:rPr>
        <w:t>致：</w:t>
      </w:r>
      <w:r>
        <w:rPr>
          <w:rFonts w:hint="eastAsia" w:ascii="宋体" w:hAnsi="宋体"/>
          <w:color w:val="000000" w:themeColor="text1"/>
          <w:highlight w:val="none"/>
          <w:u w:val="single"/>
          <w:lang w:eastAsia="zh-CN"/>
          <w14:textFill>
            <w14:solidFill>
              <w14:schemeClr w14:val="tx1"/>
            </w14:solidFill>
          </w14:textFill>
        </w:rPr>
        <w:t>南宁兴邕城市更新有限责任公司</w:t>
      </w:r>
    </w:p>
    <w:p>
      <w:pPr>
        <w:spacing w:before="0" w:after="0" w:afterAutospacing="0"/>
        <w:ind w:left="0" w:right="0" w:firstLine="420" w:firstLineChars="200"/>
        <w:jc w:val="left"/>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1</w:t>
      </w:r>
      <w:r>
        <w:rPr>
          <w:rFonts w:hint="eastAsia" w:ascii="宋体" w:hAnsi="宋体"/>
          <w:color w:val="000000" w:themeColor="text1"/>
          <w:highlight w:val="none"/>
          <w14:textFill>
            <w14:solidFill>
              <w14:schemeClr w14:val="tx1"/>
            </w14:solidFill>
          </w14:textFill>
        </w:rPr>
        <w:t>.</w:t>
      </w:r>
      <w:r>
        <w:rPr>
          <w:rFonts w:ascii="宋体" w:hAnsi="宋体"/>
          <w:color w:val="000000" w:themeColor="text1"/>
          <w:highlight w:val="none"/>
          <w14:textFill>
            <w14:solidFill>
              <w14:schemeClr w14:val="tx1"/>
            </w14:solidFill>
          </w14:textFill>
        </w:rPr>
        <w:t>在认真研读</w:t>
      </w:r>
      <w:r>
        <w:rPr>
          <w:rFonts w:hint="eastAsia" w:ascii="宋体" w:hAnsi="宋体"/>
          <w:color w:val="000000" w:themeColor="text1"/>
          <w:highlight w:val="none"/>
          <w:lang w:eastAsia="zh-CN"/>
          <w14:textFill>
            <w14:solidFill>
              <w14:schemeClr w14:val="tx1"/>
            </w14:solidFill>
          </w14:textFill>
        </w:rPr>
        <w:t>南宁兴邕城市更新有限责任公司</w:t>
      </w:r>
      <w:r>
        <w:rPr>
          <w:rFonts w:hint="eastAsia" w:ascii="宋体" w:hAnsi="宋体"/>
          <w:color w:val="000000" w:themeColor="text1"/>
          <w:highlight w:val="none"/>
          <w14:textFill>
            <w14:solidFill>
              <w14:schemeClr w14:val="tx1"/>
            </w14:solidFill>
          </w14:textFill>
        </w:rPr>
        <w:t>的比选文件</w:t>
      </w:r>
      <w:r>
        <w:rPr>
          <w:rFonts w:ascii="宋体" w:hAnsi="宋体"/>
          <w:color w:val="000000" w:themeColor="text1"/>
          <w:highlight w:val="none"/>
          <w14:textFill>
            <w14:solidFill>
              <w14:schemeClr w14:val="tx1"/>
            </w14:solidFill>
          </w14:textFill>
        </w:rPr>
        <w:t>后，我方经慎重考虑，郑重承诺参加</w:t>
      </w:r>
      <w:r>
        <w:rPr>
          <w:rFonts w:hint="eastAsia" w:ascii="宋体" w:hAnsi="宋体"/>
          <w:color w:val="000000" w:themeColor="text1"/>
          <w:highlight w:val="none"/>
          <w14:textFill>
            <w14:solidFill>
              <w14:schemeClr w14:val="tx1"/>
            </w14:solidFill>
          </w14:textFill>
        </w:rPr>
        <w:t>项目的招比选申请</w:t>
      </w:r>
      <w:r>
        <w:rPr>
          <w:rFonts w:ascii="宋体" w:hAnsi="宋体"/>
          <w:color w:val="000000" w:themeColor="text1"/>
          <w:highlight w:val="none"/>
          <w14:textFill>
            <w14:solidFill>
              <w14:schemeClr w14:val="tx1"/>
            </w14:solidFill>
          </w14:textFill>
        </w:rPr>
        <w:t>活动。</w:t>
      </w:r>
    </w:p>
    <w:p>
      <w:pPr>
        <w:spacing w:before="0" w:after="0" w:afterAutospacing="0"/>
        <w:ind w:left="0" w:right="0" w:firstLine="420" w:firstLineChars="200"/>
        <w:jc w:val="left"/>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2</w:t>
      </w:r>
      <w:r>
        <w:rPr>
          <w:rFonts w:hint="eastAsia" w:ascii="宋体" w:hAnsi="宋体"/>
          <w:color w:val="000000" w:themeColor="text1"/>
          <w:highlight w:val="none"/>
          <w14:textFill>
            <w14:solidFill>
              <w14:schemeClr w14:val="tx1"/>
            </w14:solidFill>
          </w14:textFill>
        </w:rPr>
        <w:t>.</w:t>
      </w:r>
      <w:r>
        <w:rPr>
          <w:rFonts w:ascii="宋体" w:hAnsi="宋体"/>
          <w:color w:val="000000" w:themeColor="text1"/>
          <w:highlight w:val="none"/>
          <w14:textFill>
            <w14:solidFill>
              <w14:schemeClr w14:val="tx1"/>
            </w14:solidFill>
          </w14:textFill>
        </w:rPr>
        <w:t>我方按照贵方</w:t>
      </w:r>
      <w:r>
        <w:rPr>
          <w:rFonts w:hint="eastAsia" w:ascii="宋体" w:hAnsi="宋体"/>
          <w:color w:val="000000" w:themeColor="text1"/>
          <w:highlight w:val="none"/>
          <w14:textFill>
            <w14:solidFill>
              <w14:schemeClr w14:val="tx1"/>
            </w14:solidFill>
          </w14:textFill>
        </w:rPr>
        <w:t>比选文件</w:t>
      </w:r>
      <w:r>
        <w:rPr>
          <w:rFonts w:ascii="宋体" w:hAnsi="宋体"/>
          <w:color w:val="000000" w:themeColor="text1"/>
          <w:highlight w:val="none"/>
          <w14:textFill>
            <w14:solidFill>
              <w14:schemeClr w14:val="tx1"/>
            </w14:solidFill>
          </w14:textFill>
        </w:rPr>
        <w:t>要求的内容与格式，已编制完成</w:t>
      </w:r>
      <w:r>
        <w:rPr>
          <w:rFonts w:hint="eastAsia" w:ascii="宋体" w:hAnsi="宋体"/>
          <w:color w:val="000000" w:themeColor="text1"/>
          <w:highlight w:val="none"/>
          <w14:textFill>
            <w14:solidFill>
              <w14:schemeClr w14:val="tx1"/>
            </w14:solidFill>
          </w14:textFill>
        </w:rPr>
        <w:t>比选申请文件</w:t>
      </w:r>
      <w:r>
        <w:rPr>
          <w:rFonts w:ascii="宋体" w:hAnsi="宋体"/>
          <w:color w:val="000000" w:themeColor="text1"/>
          <w:highlight w:val="none"/>
          <w14:textFill>
            <w14:solidFill>
              <w14:schemeClr w14:val="tx1"/>
            </w14:solidFill>
          </w14:textFill>
        </w:rPr>
        <w:t>，现报上。</w:t>
      </w:r>
    </w:p>
    <w:p>
      <w:pPr>
        <w:spacing w:before="0" w:after="0" w:afterAutospacing="0"/>
        <w:ind w:left="0" w:right="0" w:firstLine="420" w:firstLineChars="200"/>
        <w:jc w:val="left"/>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3.我方</w:t>
      </w:r>
      <w:r>
        <w:rPr>
          <w:rFonts w:ascii="宋体" w:hAnsi="宋体"/>
          <w:color w:val="000000" w:themeColor="text1"/>
          <w:highlight w:val="none"/>
          <w14:textFill>
            <w14:solidFill>
              <w14:schemeClr w14:val="tx1"/>
            </w14:solidFill>
          </w14:textFill>
        </w:rPr>
        <w:t>承诺：在</w:t>
      </w:r>
      <w:r>
        <w:rPr>
          <w:rFonts w:hint="eastAsia" w:ascii="宋体" w:hAnsi="宋体"/>
          <w:color w:val="000000" w:themeColor="text1"/>
          <w:highlight w:val="none"/>
          <w14:textFill>
            <w14:solidFill>
              <w14:schemeClr w14:val="tx1"/>
            </w14:solidFill>
          </w14:textFill>
        </w:rPr>
        <w:t>评审</w:t>
      </w:r>
      <w:r>
        <w:rPr>
          <w:rFonts w:ascii="宋体" w:hAnsi="宋体"/>
          <w:color w:val="000000" w:themeColor="text1"/>
          <w:highlight w:val="none"/>
          <w14:textFill>
            <w14:solidFill>
              <w14:schemeClr w14:val="tx1"/>
            </w14:solidFill>
          </w14:textFill>
        </w:rPr>
        <w:t>过程中，贵方可调查、审核我方提交的与本</w:t>
      </w:r>
      <w:r>
        <w:rPr>
          <w:rFonts w:hint="eastAsia" w:ascii="宋体" w:hAnsi="宋体"/>
          <w:color w:val="000000" w:themeColor="text1"/>
          <w:highlight w:val="none"/>
          <w14:textFill>
            <w14:solidFill>
              <w14:schemeClr w14:val="tx1"/>
            </w14:solidFill>
          </w14:textFill>
        </w:rPr>
        <w:t>比选申请文件</w:t>
      </w:r>
      <w:r>
        <w:rPr>
          <w:rFonts w:ascii="宋体" w:hAnsi="宋体"/>
          <w:color w:val="000000" w:themeColor="text1"/>
          <w:highlight w:val="none"/>
          <w14:textFill>
            <w14:solidFill>
              <w14:schemeClr w14:val="tx1"/>
            </w14:solidFill>
          </w14:textFill>
        </w:rPr>
        <w:t>相关的声明、文件和资料，我方准备随时解答贵方提出的疑问。为此，我们授权任何相关的个人和公司向贵方提供要求的和必要的真实情况和资料以证实我们所填报的各项内容。</w:t>
      </w:r>
    </w:p>
    <w:p>
      <w:pPr>
        <w:spacing w:before="0" w:after="0" w:afterAutospacing="0"/>
        <w:ind w:left="0" w:right="0" w:firstLine="420" w:firstLineChars="200"/>
        <w:jc w:val="left"/>
        <w:rPr>
          <w:rFonts w:ascii="宋体" w:hAnsi="宋体"/>
          <w:b/>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4.我方</w:t>
      </w:r>
      <w:r>
        <w:rPr>
          <w:rFonts w:ascii="宋体" w:hAnsi="宋体"/>
          <w:color w:val="000000" w:themeColor="text1"/>
          <w:highlight w:val="none"/>
          <w14:textFill>
            <w14:solidFill>
              <w14:schemeClr w14:val="tx1"/>
            </w14:solidFill>
          </w14:textFill>
        </w:rPr>
        <w:t>郑重承诺：</w:t>
      </w:r>
      <w:r>
        <w:rPr>
          <w:rFonts w:ascii="宋体" w:hAnsi="宋体"/>
          <w:b/>
          <w:color w:val="000000" w:themeColor="text1"/>
          <w:highlight w:val="none"/>
          <w14:textFill>
            <w14:solidFill>
              <w14:schemeClr w14:val="tx1"/>
            </w14:solidFill>
          </w14:textFill>
        </w:rPr>
        <w:t>我方保证</w:t>
      </w:r>
      <w:r>
        <w:rPr>
          <w:rFonts w:hint="eastAsia" w:ascii="宋体" w:hAnsi="宋体"/>
          <w:b/>
          <w:color w:val="000000" w:themeColor="text1"/>
          <w:highlight w:val="none"/>
          <w14:textFill>
            <w14:solidFill>
              <w14:schemeClr w14:val="tx1"/>
            </w14:solidFill>
          </w14:textFill>
        </w:rPr>
        <w:t>没有处于被行政主管部门或业主取消比选申请资格的处罚期内，且没有处于被责令停业，财产被接管、破产状态；比选申请截止时间前3年内没有骗取中选、严重违约或重大质量安全责任事故的情况。</w:t>
      </w:r>
    </w:p>
    <w:p>
      <w:pPr>
        <w:spacing w:before="0" w:after="0" w:afterAutospacing="0" w:line="400" w:lineRule="exact"/>
        <w:ind w:left="0" w:right="0" w:firstLine="422" w:firstLineChars="200"/>
        <w:jc w:val="left"/>
        <w:rPr>
          <w:rFonts w:ascii="宋体" w:hAnsi="宋体"/>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5.</w:t>
      </w:r>
      <w:r>
        <w:rPr>
          <w:rFonts w:ascii="宋体" w:hAnsi="宋体"/>
          <w:color w:val="000000" w:themeColor="text1"/>
          <w:highlight w:val="none"/>
          <w14:textFill>
            <w14:solidFill>
              <w14:schemeClr w14:val="tx1"/>
            </w14:solidFill>
          </w14:textFill>
        </w:rPr>
        <w:t>如果</w:t>
      </w:r>
      <w:r>
        <w:rPr>
          <w:rFonts w:hint="eastAsia" w:ascii="宋体" w:hAnsi="宋体"/>
          <w:color w:val="000000" w:themeColor="text1"/>
          <w:highlight w:val="none"/>
          <w14:textFill>
            <w14:solidFill>
              <w14:schemeClr w14:val="tx1"/>
            </w14:solidFill>
          </w14:textFill>
        </w:rPr>
        <w:t>我公司</w:t>
      </w:r>
      <w:r>
        <w:rPr>
          <w:rFonts w:ascii="宋体" w:hAnsi="宋体"/>
          <w:color w:val="000000" w:themeColor="text1"/>
          <w:highlight w:val="none"/>
          <w14:textFill>
            <w14:solidFill>
              <w14:schemeClr w14:val="tx1"/>
            </w14:solidFill>
          </w14:textFill>
        </w:rPr>
        <w:t>在该项目</w:t>
      </w:r>
      <w:r>
        <w:rPr>
          <w:rFonts w:hint="eastAsia" w:ascii="宋体" w:hAnsi="宋体"/>
          <w:color w:val="000000" w:themeColor="text1"/>
          <w:highlight w:val="none"/>
          <w14:textFill>
            <w14:solidFill>
              <w14:schemeClr w14:val="tx1"/>
            </w14:solidFill>
          </w14:textFill>
        </w:rPr>
        <w:t>报名、</w:t>
      </w:r>
      <w:r>
        <w:rPr>
          <w:rFonts w:ascii="宋体" w:hAnsi="宋体"/>
          <w:color w:val="000000" w:themeColor="text1"/>
          <w:highlight w:val="none"/>
          <w14:textFill>
            <w14:solidFill>
              <w14:schemeClr w14:val="tx1"/>
            </w14:solidFill>
          </w14:textFill>
        </w:rPr>
        <w:t>比选申请过程中或者在中选后，比选人或者有管辖权的行政监管机构发现并查实我公司在所填报的该项目</w:t>
      </w:r>
      <w:r>
        <w:rPr>
          <w:rFonts w:hint="eastAsia" w:ascii="宋体" w:hAnsi="宋体"/>
          <w:color w:val="000000" w:themeColor="text1"/>
          <w:highlight w:val="none"/>
          <w14:textFill>
            <w14:solidFill>
              <w14:schemeClr w14:val="tx1"/>
            </w14:solidFill>
          </w14:textFill>
        </w:rPr>
        <w:t>比选申请文件</w:t>
      </w:r>
      <w:r>
        <w:rPr>
          <w:rFonts w:ascii="宋体" w:hAnsi="宋体"/>
          <w:color w:val="000000" w:themeColor="text1"/>
          <w:highlight w:val="none"/>
          <w14:textFill>
            <w14:solidFill>
              <w14:schemeClr w14:val="tx1"/>
            </w14:solidFill>
          </w14:textFill>
        </w:rPr>
        <w:t>中存在提供虚假或不真实的信息或者伪造数据、资料或证书等情况，</w:t>
      </w:r>
      <w:r>
        <w:rPr>
          <w:rFonts w:hint="eastAsia" w:ascii="宋体" w:hAnsi="宋体"/>
          <w:color w:val="000000" w:themeColor="text1"/>
          <w:highlight w:val="none"/>
          <w14:textFill>
            <w14:solidFill>
              <w14:schemeClr w14:val="tx1"/>
            </w14:solidFill>
          </w14:textFill>
        </w:rPr>
        <w:t>视为我公司违约，我公司愿意接受</w:t>
      </w:r>
      <w:r>
        <w:rPr>
          <w:rFonts w:ascii="宋体" w:hAnsi="宋体"/>
          <w:color w:val="000000" w:themeColor="text1"/>
          <w:highlight w:val="none"/>
          <w14:textFill>
            <w14:solidFill>
              <w14:schemeClr w14:val="tx1"/>
            </w14:solidFill>
          </w14:textFill>
        </w:rPr>
        <w:t>比选人或有管辖权的监管机构的处罚；如果我公司已</w:t>
      </w:r>
      <w:r>
        <w:rPr>
          <w:rFonts w:hint="eastAsia" w:ascii="宋体" w:hAnsi="宋体"/>
          <w:color w:val="000000" w:themeColor="text1"/>
          <w:highlight w:val="none"/>
          <w14:textFill>
            <w14:solidFill>
              <w14:schemeClr w14:val="tx1"/>
            </w14:solidFill>
          </w14:textFill>
        </w:rPr>
        <w:t>与比选人签订合同，则视为我公司违约，我司愿意按合同暂定总金额的20%向比选人支付违约金</w:t>
      </w:r>
      <w:r>
        <w:rPr>
          <w:rFonts w:ascii="宋体" w:hAnsi="宋体"/>
          <w:color w:val="000000" w:themeColor="text1"/>
          <w:highlight w:val="none"/>
          <w14:textFill>
            <w14:solidFill>
              <w14:schemeClr w14:val="tx1"/>
            </w14:solidFill>
          </w14:textFill>
        </w:rPr>
        <w:t>；由此造成的任何后果和损失均由我公司承担。本段承诺既是我公司</w:t>
      </w:r>
      <w:r>
        <w:rPr>
          <w:rFonts w:hint="eastAsia" w:ascii="宋体" w:hAnsi="宋体"/>
          <w:color w:val="000000" w:themeColor="text1"/>
          <w:highlight w:val="none"/>
          <w14:textFill>
            <w14:solidFill>
              <w14:schemeClr w14:val="tx1"/>
            </w14:solidFill>
          </w14:textFill>
        </w:rPr>
        <w:t>比选申请文件</w:t>
      </w:r>
      <w:r>
        <w:rPr>
          <w:rFonts w:ascii="宋体" w:hAnsi="宋体"/>
          <w:color w:val="000000" w:themeColor="text1"/>
          <w:highlight w:val="none"/>
          <w14:textFill>
            <w14:solidFill>
              <w14:schemeClr w14:val="tx1"/>
            </w14:solidFill>
          </w14:textFill>
        </w:rPr>
        <w:t>的有效组成内容，也是我公司真实意思的表示，对我公司在与该项目有关的任何行为中始终具有优先的法律约束力。</w:t>
      </w:r>
    </w:p>
    <w:p>
      <w:pPr>
        <w:spacing w:before="0" w:after="0" w:afterAutospacing="0" w:line="400" w:lineRule="exact"/>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6.</w:t>
      </w:r>
      <w:r>
        <w:rPr>
          <w:rFonts w:ascii="宋体" w:hAnsi="宋体"/>
          <w:color w:val="000000" w:themeColor="text1"/>
          <w:highlight w:val="none"/>
          <w14:textFill>
            <w14:solidFill>
              <w14:schemeClr w14:val="tx1"/>
            </w14:solidFill>
          </w14:textFill>
        </w:rPr>
        <w:t>我方了解：无论</w:t>
      </w:r>
      <w:r>
        <w:rPr>
          <w:rFonts w:hint="eastAsia" w:ascii="宋体" w:hAnsi="宋体"/>
          <w:color w:val="000000" w:themeColor="text1"/>
          <w:highlight w:val="none"/>
          <w14:textFill>
            <w14:solidFill>
              <w14:schemeClr w14:val="tx1"/>
            </w14:solidFill>
          </w14:textFill>
        </w:rPr>
        <w:t>是否中选</w:t>
      </w:r>
      <w:r>
        <w:rPr>
          <w:rFonts w:ascii="宋体" w:hAnsi="宋体"/>
          <w:color w:val="000000" w:themeColor="text1"/>
          <w:highlight w:val="none"/>
          <w14:textFill>
            <w14:solidFill>
              <w14:schemeClr w14:val="tx1"/>
            </w14:solidFill>
          </w14:textFill>
        </w:rPr>
        <w:t>，我方将自行承担与</w:t>
      </w:r>
      <w:r>
        <w:rPr>
          <w:rFonts w:hint="eastAsia" w:ascii="宋体" w:hAnsi="宋体"/>
          <w:color w:val="000000" w:themeColor="text1"/>
          <w:highlight w:val="none"/>
          <w14:textFill>
            <w14:solidFill>
              <w14:schemeClr w14:val="tx1"/>
            </w14:solidFill>
          </w14:textFill>
        </w:rPr>
        <w:t>招比选申请</w:t>
      </w:r>
      <w:r>
        <w:rPr>
          <w:rFonts w:ascii="宋体" w:hAnsi="宋体"/>
          <w:color w:val="000000" w:themeColor="text1"/>
          <w:highlight w:val="none"/>
          <w14:textFill>
            <w14:solidFill>
              <w14:schemeClr w14:val="tx1"/>
            </w14:solidFill>
          </w14:textFill>
        </w:rPr>
        <w:t>活动所需的一切费用。</w:t>
      </w:r>
    </w:p>
    <w:p>
      <w:pPr>
        <w:spacing w:before="0" w:after="0" w:afterAutospacing="0" w:line="400" w:lineRule="exact"/>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7.我方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pPr>
        <w:spacing w:before="0" w:after="0" w:afterAutospacing="0" w:line="400" w:lineRule="exact"/>
        <w:ind w:left="0" w:right="0" w:firstLine="420" w:firstLineChars="200"/>
        <w:jc w:val="left"/>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我</w:t>
      </w:r>
      <w:r>
        <w:rPr>
          <w:rFonts w:hint="eastAsia" w:ascii="宋体" w:hAnsi="宋体"/>
          <w:color w:val="000000" w:themeColor="text1"/>
          <w:highlight w:val="none"/>
          <w14:textFill>
            <w14:solidFill>
              <w14:schemeClr w14:val="tx1"/>
            </w14:solidFill>
          </w14:textFill>
        </w:rPr>
        <w:t>方</w:t>
      </w:r>
      <w:r>
        <w:rPr>
          <w:rFonts w:ascii="宋体" w:hAnsi="宋体"/>
          <w:color w:val="000000" w:themeColor="text1"/>
          <w:highlight w:val="none"/>
          <w14:textFill>
            <w14:solidFill>
              <w14:schemeClr w14:val="tx1"/>
            </w14:solidFill>
          </w14:textFill>
        </w:rPr>
        <w:t>声明，我们所填报的资料是完全真实和准确的，并愿为此承担任何相关的法律责任。</w:t>
      </w:r>
    </w:p>
    <w:p>
      <w:pPr>
        <w:spacing w:before="0" w:after="0" w:afterAutospacing="0" w:line="400" w:lineRule="exact"/>
        <w:ind w:left="0" w:right="0" w:firstLine="200"/>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比选申请人</w:t>
      </w:r>
      <w:r>
        <w:rPr>
          <w:rFonts w:ascii="宋体" w:hAnsi="宋体"/>
          <w:color w:val="000000" w:themeColor="text1"/>
          <w:highlight w:val="none"/>
          <w14:textFill>
            <w14:solidFill>
              <w14:schemeClr w14:val="tx1"/>
            </w14:solidFill>
          </w14:textFill>
        </w:rPr>
        <w:t>地址：</w:t>
      </w:r>
    </w:p>
    <w:p>
      <w:pPr>
        <w:spacing w:before="0" w:after="0" w:afterAutospacing="0" w:line="400" w:lineRule="exact"/>
        <w:ind w:left="0" w:right="0" w:firstLine="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比选申请人</w:t>
      </w:r>
      <w:r>
        <w:rPr>
          <w:rFonts w:ascii="宋体" w:hAnsi="宋体"/>
          <w:color w:val="000000" w:themeColor="text1"/>
          <w:highlight w:val="none"/>
          <w:u w:val="single"/>
          <w14:textFill>
            <w14:solidFill>
              <w14:schemeClr w14:val="tx1"/>
            </w14:solidFill>
          </w14:textFill>
        </w:rPr>
        <w:t xml:space="preserve">  </w:t>
      </w:r>
      <w:r>
        <w:rPr>
          <w:rFonts w:hint="eastAsia"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u w:val="single"/>
          <w14:textFill>
            <w14:solidFill>
              <w14:schemeClr w14:val="tx1"/>
            </w14:solidFill>
          </w14:textFill>
        </w:rPr>
        <w:t xml:space="preserve">  (</w:t>
      </w:r>
      <w:r>
        <w:rPr>
          <w:rFonts w:hint="eastAsia" w:ascii="宋体" w:hAnsi="宋体"/>
          <w:color w:val="000000" w:themeColor="text1"/>
          <w:highlight w:val="none"/>
          <w:u w:val="single"/>
          <w14:textFill>
            <w14:solidFill>
              <w14:schemeClr w14:val="tx1"/>
            </w14:solidFill>
          </w14:textFill>
        </w:rPr>
        <w:t>盖单位公章</w:t>
      </w:r>
      <w:r>
        <w:rPr>
          <w:rFonts w:ascii="宋体" w:hAnsi="宋体"/>
          <w:color w:val="000000" w:themeColor="text1"/>
          <w:highlight w:val="none"/>
          <w:u w:val="single"/>
          <w14:textFill>
            <w14:solidFill>
              <w14:schemeClr w14:val="tx1"/>
            </w14:solidFill>
          </w14:textFill>
        </w:rPr>
        <w:t>)</w:t>
      </w:r>
    </w:p>
    <w:p>
      <w:pPr>
        <w:spacing w:before="0" w:after="0" w:afterAutospacing="0" w:line="400" w:lineRule="exact"/>
        <w:ind w:left="0" w:right="0" w:firstLine="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邮政编码：</w:t>
      </w:r>
    </w:p>
    <w:p>
      <w:pPr>
        <w:spacing w:before="0" w:after="0" w:afterAutospacing="0" w:line="400" w:lineRule="exact"/>
        <w:ind w:left="0" w:right="0" w:firstLine="200"/>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法定代表人（或委托代理人）：</w:t>
      </w:r>
      <w:r>
        <w:rPr>
          <w:rFonts w:ascii="宋体" w:hAnsi="宋体"/>
          <w:color w:val="000000" w:themeColor="text1"/>
          <w:highlight w:val="none"/>
          <w:u w:val="single"/>
          <w14:textFill>
            <w14:solidFill>
              <w14:schemeClr w14:val="tx1"/>
            </w14:solidFill>
          </w14:textFill>
        </w:rPr>
        <w:t>(签字</w:t>
      </w:r>
      <w:r>
        <w:rPr>
          <w:rFonts w:hint="eastAsia" w:ascii="宋体" w:hAnsi="宋体"/>
          <w:color w:val="000000" w:themeColor="text1"/>
          <w:highlight w:val="none"/>
          <w:u w:val="single"/>
          <w14:textFill>
            <w14:solidFill>
              <w14:schemeClr w14:val="tx1"/>
            </w14:solidFill>
          </w14:textFill>
        </w:rPr>
        <w:t>或盖章</w:t>
      </w:r>
      <w:r>
        <w:rPr>
          <w:rFonts w:ascii="宋体" w:hAnsi="宋体"/>
          <w:color w:val="000000" w:themeColor="text1"/>
          <w:highlight w:val="none"/>
          <w:u w:val="single"/>
          <w14:textFill>
            <w14:solidFill>
              <w14:schemeClr w14:val="tx1"/>
            </w14:solidFill>
          </w14:textFill>
        </w:rPr>
        <w:t>)</w:t>
      </w:r>
    </w:p>
    <w:p>
      <w:pPr>
        <w:spacing w:before="0" w:after="0" w:afterAutospacing="0" w:line="400" w:lineRule="exact"/>
        <w:ind w:left="0" w:right="0" w:firstLine="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电话：</w:t>
      </w:r>
      <w:r>
        <w:rPr>
          <w:rFonts w:hint="eastAsia" w:ascii="宋体" w:hAnsi="宋体"/>
          <w:color w:val="000000" w:themeColor="text1"/>
          <w:highlight w:val="none"/>
          <w14:textFill>
            <w14:solidFill>
              <w14:schemeClr w14:val="tx1"/>
            </w14:solidFill>
          </w14:textFill>
        </w:rPr>
        <w:t xml:space="preserve">   </w:t>
      </w:r>
      <w:r>
        <w:rPr>
          <w:rFonts w:ascii="宋体" w:hAnsi="宋体"/>
          <w:color w:val="000000" w:themeColor="text1"/>
          <w:highlight w:val="none"/>
          <w:u w:val="single"/>
          <w14:textFill>
            <w14:solidFill>
              <w14:schemeClr w14:val="tx1"/>
            </w14:solidFill>
          </w14:textFill>
        </w:rPr>
        <w:t>　　</w:t>
      </w:r>
    </w:p>
    <w:p>
      <w:pPr>
        <w:spacing w:before="0" w:after="0" w:afterAutospacing="0" w:line="400" w:lineRule="exact"/>
        <w:ind w:left="0" w:right="0" w:firstLine="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传真：</w:t>
      </w:r>
    </w:p>
    <w:p>
      <w:pPr>
        <w:spacing w:before="0" w:after="0" w:afterAutospacing="0" w:line="400" w:lineRule="exact"/>
        <w:ind w:left="0" w:right="0" w:firstLine="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日期：年月日</w:t>
      </w:r>
    </w:p>
    <w:p>
      <w:pPr>
        <w:pStyle w:val="32"/>
        <w:ind w:firstLine="480"/>
        <w:rPr>
          <w:rFonts w:ascii="宋体" w:hAnsi="宋体"/>
          <w:color w:val="000000" w:themeColor="text1"/>
          <w:highlight w:val="none"/>
          <w14:textFill>
            <w14:solidFill>
              <w14:schemeClr w14:val="tx1"/>
            </w14:solidFill>
          </w14:textFill>
        </w:rPr>
      </w:pPr>
    </w:p>
    <w:p>
      <w:pPr>
        <w:pageBreakBefore/>
        <w:snapToGrid w:val="0"/>
        <w:ind w:right="0" w:firstLine="0"/>
        <w:jc w:val="left"/>
        <w:outlineLvl w:val="0"/>
        <w:rPr>
          <w:rFonts w:ascii="宋体" w:hAnsi="宋体"/>
          <w:b/>
          <w:color w:val="000000" w:themeColor="text1"/>
          <w:highlight w:val="none"/>
          <w14:textFill>
            <w14:solidFill>
              <w14:schemeClr w14:val="tx1"/>
            </w14:solidFill>
          </w14:textFill>
        </w:rPr>
      </w:pPr>
      <w:bookmarkStart w:id="1282" w:name="_Toc1976"/>
      <w:bookmarkStart w:id="1283" w:name="_Toc25750678"/>
      <w:bookmarkStart w:id="1284" w:name="_Toc11390"/>
      <w:bookmarkStart w:id="1285" w:name="_Toc114134666"/>
      <w:r>
        <w:rPr>
          <w:rFonts w:ascii="宋体" w:hAnsi="宋体"/>
          <w:b/>
          <w:color w:val="000000" w:themeColor="text1"/>
          <w:highlight w:val="none"/>
          <w14:textFill>
            <w14:solidFill>
              <w14:schemeClr w14:val="tx1"/>
            </w14:solidFill>
          </w14:textFill>
        </w:rPr>
        <w:t>A</w:t>
      </w:r>
      <w:r>
        <w:rPr>
          <w:rFonts w:hint="eastAsia" w:ascii="宋体" w:hAnsi="宋体"/>
          <w:b/>
          <w:color w:val="000000" w:themeColor="text1"/>
          <w:highlight w:val="none"/>
          <w14:textFill>
            <w14:solidFill>
              <w14:schemeClr w14:val="tx1"/>
            </w14:solidFill>
          </w14:textFill>
        </w:rPr>
        <w:t>4  类似项目</w:t>
      </w:r>
      <w:r>
        <w:rPr>
          <w:rFonts w:ascii="宋体" w:hAnsi="宋体"/>
          <w:b/>
          <w:color w:val="000000" w:themeColor="text1"/>
          <w:highlight w:val="none"/>
          <w14:textFill>
            <w14:solidFill>
              <w14:schemeClr w14:val="tx1"/>
            </w14:solidFill>
          </w14:textFill>
        </w:rPr>
        <w:t>业绩表格式</w:t>
      </w:r>
      <w:bookmarkEnd w:id="1282"/>
      <w:bookmarkEnd w:id="1283"/>
      <w:bookmarkEnd w:id="1284"/>
      <w:bookmarkEnd w:id="1285"/>
    </w:p>
    <w:p>
      <w:pPr>
        <w:spacing w:before="0"/>
        <w:ind w:right="-57" w:firstLine="0"/>
        <w:jc w:val="center"/>
        <w:rPr>
          <w:rFonts w:ascii="宋体" w:hAnsi="宋体"/>
          <w:b/>
          <w:color w:val="000000" w:themeColor="text1"/>
          <w:spacing w:val="20"/>
          <w:highlight w:val="none"/>
          <w14:textFill>
            <w14:solidFill>
              <w14:schemeClr w14:val="tx1"/>
            </w14:solidFill>
          </w14:textFill>
        </w:rPr>
      </w:pPr>
      <w:r>
        <w:rPr>
          <w:rFonts w:hint="eastAsia" w:ascii="宋体" w:hAnsi="宋体"/>
          <w:b/>
          <w:color w:val="000000" w:themeColor="text1"/>
          <w:spacing w:val="20"/>
          <w:highlight w:val="none"/>
          <w14:textFill>
            <w14:solidFill>
              <w14:schemeClr w14:val="tx1"/>
            </w14:solidFill>
          </w14:textFill>
        </w:rPr>
        <w:t>类似项目</w:t>
      </w:r>
      <w:r>
        <w:rPr>
          <w:rFonts w:ascii="宋体" w:hAnsi="宋体"/>
          <w:b/>
          <w:color w:val="000000" w:themeColor="text1"/>
          <w:spacing w:val="20"/>
          <w:highlight w:val="none"/>
          <w14:textFill>
            <w14:solidFill>
              <w14:schemeClr w14:val="tx1"/>
            </w14:solidFill>
          </w14:textFill>
        </w:rPr>
        <w:t>业绩表</w:t>
      </w:r>
    </w:p>
    <w:tbl>
      <w:tblPr>
        <w:tblStyle w:val="35"/>
        <w:tblW w:w="9932" w:type="dxa"/>
        <w:jc w:val="center"/>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fixed"/>
        <w:tblCellMar>
          <w:top w:w="0" w:type="dxa"/>
          <w:left w:w="108" w:type="dxa"/>
          <w:bottom w:w="0" w:type="dxa"/>
          <w:right w:w="108" w:type="dxa"/>
        </w:tblCellMar>
      </w:tblPr>
      <w:tblGrid>
        <w:gridCol w:w="599"/>
        <w:gridCol w:w="1092"/>
        <w:gridCol w:w="1789"/>
        <w:gridCol w:w="992"/>
        <w:gridCol w:w="992"/>
        <w:gridCol w:w="993"/>
        <w:gridCol w:w="1388"/>
        <w:gridCol w:w="1044"/>
        <w:gridCol w:w="1043"/>
      </w:tblGrid>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440" w:hRule="atLeast"/>
          <w:jc w:val="center"/>
        </w:trPr>
        <w:tc>
          <w:tcPr>
            <w:tcW w:w="599" w:type="dxa"/>
            <w:tcBorders>
              <w:top w:val="doub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序号</w:t>
            </w:r>
          </w:p>
        </w:tc>
        <w:tc>
          <w:tcPr>
            <w:tcW w:w="1092" w:type="dxa"/>
            <w:tcBorders>
              <w:top w:val="doub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项目名称</w:t>
            </w:r>
          </w:p>
        </w:tc>
        <w:tc>
          <w:tcPr>
            <w:tcW w:w="1789" w:type="dxa"/>
            <w:tcBorders>
              <w:top w:val="doub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合同内容（简述）</w:t>
            </w:r>
          </w:p>
        </w:tc>
        <w:tc>
          <w:tcPr>
            <w:tcW w:w="992" w:type="dxa"/>
            <w:tcBorders>
              <w:top w:val="double" w:color="auto" w:sz="4" w:space="0"/>
            </w:tcBorders>
          </w:tcPr>
          <w:p>
            <w:pPr>
              <w:ind w:left="0"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设计面积/㎡</w:t>
            </w:r>
          </w:p>
        </w:tc>
        <w:tc>
          <w:tcPr>
            <w:tcW w:w="992" w:type="dxa"/>
            <w:tcBorders>
              <w:top w:val="double" w:color="auto" w:sz="4" w:space="0"/>
            </w:tcBorders>
            <w:vAlign w:val="center"/>
          </w:tcPr>
          <w:p>
            <w:pPr>
              <w:ind w:left="0"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合同</w:t>
            </w:r>
            <w:r>
              <w:rPr>
                <w:rFonts w:ascii="宋体" w:hAnsi="宋体"/>
                <w:color w:val="000000" w:themeColor="text1"/>
                <w:highlight w:val="none"/>
                <w14:textFill>
                  <w14:solidFill>
                    <w14:schemeClr w14:val="tx1"/>
                  </w14:solidFill>
                </w14:textFill>
              </w:rPr>
              <w:br w:type="textWrapping"/>
            </w:r>
            <w:r>
              <w:rPr>
                <w:rFonts w:hint="eastAsia" w:ascii="宋体" w:hAnsi="宋体"/>
                <w:color w:val="000000" w:themeColor="text1"/>
                <w:highlight w:val="none"/>
                <w14:textFill>
                  <w14:solidFill>
                    <w14:schemeClr w14:val="tx1"/>
                  </w14:solidFill>
                </w14:textFill>
              </w:rPr>
              <w:t>金额</w:t>
            </w:r>
          </w:p>
        </w:tc>
        <w:tc>
          <w:tcPr>
            <w:tcW w:w="993" w:type="dxa"/>
            <w:tcBorders>
              <w:top w:val="double" w:color="auto" w:sz="4" w:space="0"/>
            </w:tcBorders>
            <w:vAlign w:val="center"/>
          </w:tcPr>
          <w:p>
            <w:pPr>
              <w:ind w:left="0"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签订</w:t>
            </w:r>
            <w:r>
              <w:rPr>
                <w:rFonts w:ascii="宋体" w:hAnsi="宋体"/>
                <w:color w:val="000000" w:themeColor="text1"/>
                <w:highlight w:val="none"/>
                <w14:textFill>
                  <w14:solidFill>
                    <w14:schemeClr w14:val="tx1"/>
                  </w14:solidFill>
                </w14:textFill>
              </w:rPr>
              <w:br w:type="textWrapping"/>
            </w:r>
            <w:r>
              <w:rPr>
                <w:rFonts w:hint="eastAsia" w:ascii="宋体" w:hAnsi="宋体"/>
                <w:color w:val="000000" w:themeColor="text1"/>
                <w:highlight w:val="none"/>
                <w14:textFill>
                  <w14:solidFill>
                    <w14:schemeClr w14:val="tx1"/>
                  </w14:solidFill>
                </w14:textFill>
              </w:rPr>
              <w:t>时间</w:t>
            </w:r>
          </w:p>
        </w:tc>
        <w:tc>
          <w:tcPr>
            <w:tcW w:w="1388" w:type="dxa"/>
            <w:tcBorders>
              <w:top w:val="double" w:color="auto" w:sz="4" w:space="0"/>
            </w:tcBorders>
            <w:vAlign w:val="center"/>
          </w:tcPr>
          <w:p>
            <w:pPr>
              <w:ind w:left="0" w:firstLine="0"/>
              <w:jc w:val="center"/>
              <w:rPr>
                <w:rFonts w:ascii="宋体" w:hAnsi="宋体"/>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工期或服务</w:t>
            </w:r>
            <w:r>
              <w:rPr>
                <w:rFonts w:hint="eastAsia" w:ascii="宋体" w:hAnsi="宋体"/>
                <w:color w:val="000000" w:themeColor="text1"/>
                <w:highlight w:val="none"/>
                <w14:textFill>
                  <w14:solidFill>
                    <w14:schemeClr w14:val="tx1"/>
                  </w14:solidFill>
                </w14:textFill>
              </w:rPr>
              <w:t>时间</w:t>
            </w:r>
          </w:p>
        </w:tc>
        <w:tc>
          <w:tcPr>
            <w:tcW w:w="1044" w:type="dxa"/>
            <w:tcBorders>
              <w:top w:val="doub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业主单位</w:t>
            </w:r>
          </w:p>
        </w:tc>
        <w:tc>
          <w:tcPr>
            <w:tcW w:w="1043" w:type="dxa"/>
            <w:tcBorders>
              <w:top w:val="doub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联系电话</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43" w:hRule="atLeast"/>
          <w:jc w:val="center"/>
        </w:trPr>
        <w:tc>
          <w:tcPr>
            <w:tcW w:w="599" w:type="dxa"/>
          </w:tcPr>
          <w:p>
            <w:pPr>
              <w:ind w:left="0" w:firstLine="0"/>
              <w:rPr>
                <w:rFonts w:ascii="宋体" w:hAnsi="宋体"/>
                <w:color w:val="000000" w:themeColor="text1"/>
                <w:highlight w:val="none"/>
                <w14:textFill>
                  <w14:solidFill>
                    <w14:schemeClr w14:val="tx1"/>
                  </w14:solidFill>
                </w14:textFill>
              </w:rPr>
            </w:pPr>
          </w:p>
        </w:tc>
        <w:tc>
          <w:tcPr>
            <w:tcW w:w="1092" w:type="dxa"/>
          </w:tcPr>
          <w:p>
            <w:pPr>
              <w:ind w:left="0" w:firstLine="0"/>
              <w:rPr>
                <w:rFonts w:ascii="宋体" w:hAnsi="宋体"/>
                <w:color w:val="000000" w:themeColor="text1"/>
                <w:highlight w:val="none"/>
                <w14:textFill>
                  <w14:solidFill>
                    <w14:schemeClr w14:val="tx1"/>
                  </w14:solidFill>
                </w14:textFill>
              </w:rPr>
            </w:pPr>
          </w:p>
        </w:tc>
        <w:tc>
          <w:tcPr>
            <w:tcW w:w="1789" w:type="dxa"/>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3" w:type="dxa"/>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tcPr>
          <w:p>
            <w:pPr>
              <w:ind w:left="0" w:firstLine="0"/>
              <w:rPr>
                <w:rFonts w:ascii="宋体" w:hAnsi="宋体"/>
                <w:color w:val="000000" w:themeColor="text1"/>
                <w:highlight w:val="none"/>
                <w14:textFill>
                  <w14:solidFill>
                    <w14:schemeClr w14:val="tx1"/>
                  </w14:solidFill>
                </w14:textFill>
              </w:rPr>
            </w:pPr>
          </w:p>
        </w:tc>
        <w:tc>
          <w:tcPr>
            <w:tcW w:w="1043" w:type="dxa"/>
          </w:tcPr>
          <w:p>
            <w:pPr>
              <w:ind w:left="0" w:firstLine="0"/>
              <w:rPr>
                <w:rFonts w:ascii="宋体" w:hAnsi="宋体"/>
                <w:color w:val="000000" w:themeColor="text1"/>
                <w:highlight w:val="none"/>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000000" w:themeColor="text1"/>
                <w:highlight w:val="none"/>
                <w14:textFill>
                  <w14:solidFill>
                    <w14:schemeClr w14:val="tx1"/>
                  </w14:solidFill>
                </w14:textFill>
              </w:rPr>
            </w:pPr>
          </w:p>
        </w:tc>
        <w:tc>
          <w:tcPr>
            <w:tcW w:w="1092" w:type="dxa"/>
            <w:vAlign w:val="center"/>
          </w:tcPr>
          <w:p>
            <w:pPr>
              <w:ind w:left="0" w:firstLine="0"/>
              <w:rPr>
                <w:rFonts w:ascii="宋体" w:hAnsi="宋体"/>
                <w:color w:val="000000" w:themeColor="text1"/>
                <w:highlight w:val="none"/>
                <w14:textFill>
                  <w14:solidFill>
                    <w14:schemeClr w14:val="tx1"/>
                  </w14:solidFill>
                </w14:textFill>
              </w:rPr>
            </w:pPr>
          </w:p>
        </w:tc>
        <w:tc>
          <w:tcPr>
            <w:tcW w:w="1789" w:type="dxa"/>
            <w:vAlign w:val="center"/>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2" w:type="dxa"/>
            <w:vAlign w:val="center"/>
          </w:tcPr>
          <w:p>
            <w:pPr>
              <w:ind w:left="0" w:firstLine="0"/>
              <w:rPr>
                <w:rFonts w:ascii="宋体" w:hAnsi="宋体"/>
                <w:color w:val="000000" w:themeColor="text1"/>
                <w:highlight w:val="none"/>
                <w14:textFill>
                  <w14:solidFill>
                    <w14:schemeClr w14:val="tx1"/>
                  </w14:solidFill>
                </w14:textFill>
              </w:rPr>
            </w:pPr>
          </w:p>
        </w:tc>
        <w:tc>
          <w:tcPr>
            <w:tcW w:w="993" w:type="dxa"/>
            <w:vAlign w:val="center"/>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vAlign w:val="center"/>
          </w:tcPr>
          <w:p>
            <w:pPr>
              <w:ind w:left="0" w:firstLine="0"/>
              <w:rPr>
                <w:rFonts w:ascii="宋体" w:hAnsi="宋体"/>
                <w:color w:val="000000" w:themeColor="text1"/>
                <w:highlight w:val="none"/>
                <w14:textFill>
                  <w14:solidFill>
                    <w14:schemeClr w14:val="tx1"/>
                  </w14:solidFill>
                </w14:textFill>
              </w:rPr>
            </w:pPr>
          </w:p>
        </w:tc>
        <w:tc>
          <w:tcPr>
            <w:tcW w:w="1043" w:type="dxa"/>
            <w:vAlign w:val="center"/>
          </w:tcPr>
          <w:p>
            <w:pPr>
              <w:ind w:left="0" w:firstLine="0"/>
              <w:rPr>
                <w:rFonts w:ascii="宋体" w:hAnsi="宋体"/>
                <w:color w:val="000000" w:themeColor="text1"/>
                <w:highlight w:val="none"/>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000000" w:themeColor="text1"/>
                <w:highlight w:val="none"/>
                <w14:textFill>
                  <w14:solidFill>
                    <w14:schemeClr w14:val="tx1"/>
                  </w14:solidFill>
                </w14:textFill>
              </w:rPr>
            </w:pPr>
          </w:p>
        </w:tc>
        <w:tc>
          <w:tcPr>
            <w:tcW w:w="1092" w:type="dxa"/>
            <w:vAlign w:val="center"/>
          </w:tcPr>
          <w:p>
            <w:pPr>
              <w:ind w:left="0" w:firstLine="0"/>
              <w:rPr>
                <w:rFonts w:ascii="宋体" w:hAnsi="宋体"/>
                <w:color w:val="000000" w:themeColor="text1"/>
                <w:highlight w:val="none"/>
                <w14:textFill>
                  <w14:solidFill>
                    <w14:schemeClr w14:val="tx1"/>
                  </w14:solidFill>
                </w14:textFill>
              </w:rPr>
            </w:pPr>
          </w:p>
        </w:tc>
        <w:tc>
          <w:tcPr>
            <w:tcW w:w="1789" w:type="dxa"/>
            <w:vAlign w:val="center"/>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2" w:type="dxa"/>
            <w:vAlign w:val="center"/>
          </w:tcPr>
          <w:p>
            <w:pPr>
              <w:ind w:left="0" w:firstLine="0"/>
              <w:rPr>
                <w:rFonts w:ascii="宋体" w:hAnsi="宋体"/>
                <w:color w:val="000000" w:themeColor="text1"/>
                <w:highlight w:val="none"/>
                <w14:textFill>
                  <w14:solidFill>
                    <w14:schemeClr w14:val="tx1"/>
                  </w14:solidFill>
                </w14:textFill>
              </w:rPr>
            </w:pPr>
          </w:p>
        </w:tc>
        <w:tc>
          <w:tcPr>
            <w:tcW w:w="993" w:type="dxa"/>
            <w:vAlign w:val="center"/>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vAlign w:val="center"/>
          </w:tcPr>
          <w:p>
            <w:pPr>
              <w:ind w:left="0" w:firstLine="0"/>
              <w:rPr>
                <w:rFonts w:ascii="宋体" w:hAnsi="宋体"/>
                <w:color w:val="000000" w:themeColor="text1"/>
                <w:highlight w:val="none"/>
                <w14:textFill>
                  <w14:solidFill>
                    <w14:schemeClr w14:val="tx1"/>
                  </w14:solidFill>
                </w14:textFill>
              </w:rPr>
            </w:pPr>
          </w:p>
        </w:tc>
        <w:tc>
          <w:tcPr>
            <w:tcW w:w="1043" w:type="dxa"/>
            <w:vAlign w:val="center"/>
          </w:tcPr>
          <w:p>
            <w:pPr>
              <w:ind w:left="0" w:firstLine="0"/>
              <w:rPr>
                <w:rFonts w:ascii="宋体" w:hAnsi="宋体"/>
                <w:color w:val="000000" w:themeColor="text1"/>
                <w:highlight w:val="none"/>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000000" w:themeColor="text1"/>
                <w:highlight w:val="none"/>
                <w14:textFill>
                  <w14:solidFill>
                    <w14:schemeClr w14:val="tx1"/>
                  </w14:solidFill>
                </w14:textFill>
              </w:rPr>
            </w:pPr>
          </w:p>
        </w:tc>
        <w:tc>
          <w:tcPr>
            <w:tcW w:w="1092" w:type="dxa"/>
            <w:vAlign w:val="center"/>
          </w:tcPr>
          <w:p>
            <w:pPr>
              <w:ind w:left="0" w:firstLine="0"/>
              <w:rPr>
                <w:rFonts w:ascii="宋体" w:hAnsi="宋体"/>
                <w:color w:val="000000" w:themeColor="text1"/>
                <w:highlight w:val="none"/>
                <w14:textFill>
                  <w14:solidFill>
                    <w14:schemeClr w14:val="tx1"/>
                  </w14:solidFill>
                </w14:textFill>
              </w:rPr>
            </w:pPr>
          </w:p>
        </w:tc>
        <w:tc>
          <w:tcPr>
            <w:tcW w:w="1789" w:type="dxa"/>
            <w:vAlign w:val="center"/>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2" w:type="dxa"/>
            <w:vAlign w:val="center"/>
          </w:tcPr>
          <w:p>
            <w:pPr>
              <w:ind w:left="0" w:firstLine="0"/>
              <w:rPr>
                <w:rFonts w:ascii="宋体" w:hAnsi="宋体"/>
                <w:color w:val="000000" w:themeColor="text1"/>
                <w:highlight w:val="none"/>
                <w14:textFill>
                  <w14:solidFill>
                    <w14:schemeClr w14:val="tx1"/>
                  </w14:solidFill>
                </w14:textFill>
              </w:rPr>
            </w:pPr>
          </w:p>
        </w:tc>
        <w:tc>
          <w:tcPr>
            <w:tcW w:w="993" w:type="dxa"/>
            <w:vAlign w:val="center"/>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vAlign w:val="center"/>
          </w:tcPr>
          <w:p>
            <w:pPr>
              <w:ind w:left="0" w:firstLine="0"/>
              <w:rPr>
                <w:rFonts w:ascii="宋体" w:hAnsi="宋体"/>
                <w:color w:val="000000" w:themeColor="text1"/>
                <w:highlight w:val="none"/>
                <w14:textFill>
                  <w14:solidFill>
                    <w14:schemeClr w14:val="tx1"/>
                  </w14:solidFill>
                </w14:textFill>
              </w:rPr>
            </w:pPr>
          </w:p>
        </w:tc>
        <w:tc>
          <w:tcPr>
            <w:tcW w:w="1043" w:type="dxa"/>
            <w:vAlign w:val="center"/>
          </w:tcPr>
          <w:p>
            <w:pPr>
              <w:ind w:left="0" w:firstLine="0"/>
              <w:rPr>
                <w:rFonts w:ascii="宋体" w:hAnsi="宋体"/>
                <w:color w:val="000000" w:themeColor="text1"/>
                <w:highlight w:val="none"/>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000000" w:themeColor="text1"/>
                <w:highlight w:val="none"/>
                <w14:textFill>
                  <w14:solidFill>
                    <w14:schemeClr w14:val="tx1"/>
                  </w14:solidFill>
                </w14:textFill>
              </w:rPr>
            </w:pPr>
          </w:p>
        </w:tc>
        <w:tc>
          <w:tcPr>
            <w:tcW w:w="1092" w:type="dxa"/>
            <w:vAlign w:val="center"/>
          </w:tcPr>
          <w:p>
            <w:pPr>
              <w:ind w:left="0" w:firstLine="0"/>
              <w:rPr>
                <w:rFonts w:ascii="宋体" w:hAnsi="宋体"/>
                <w:color w:val="000000" w:themeColor="text1"/>
                <w:highlight w:val="none"/>
                <w14:textFill>
                  <w14:solidFill>
                    <w14:schemeClr w14:val="tx1"/>
                  </w14:solidFill>
                </w14:textFill>
              </w:rPr>
            </w:pPr>
          </w:p>
        </w:tc>
        <w:tc>
          <w:tcPr>
            <w:tcW w:w="1789" w:type="dxa"/>
            <w:vAlign w:val="center"/>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2" w:type="dxa"/>
            <w:vAlign w:val="center"/>
          </w:tcPr>
          <w:p>
            <w:pPr>
              <w:ind w:left="0" w:firstLine="0"/>
              <w:rPr>
                <w:rFonts w:ascii="宋体" w:hAnsi="宋体"/>
                <w:color w:val="000000" w:themeColor="text1"/>
                <w:highlight w:val="none"/>
                <w14:textFill>
                  <w14:solidFill>
                    <w14:schemeClr w14:val="tx1"/>
                  </w14:solidFill>
                </w14:textFill>
              </w:rPr>
            </w:pPr>
          </w:p>
        </w:tc>
        <w:tc>
          <w:tcPr>
            <w:tcW w:w="993" w:type="dxa"/>
            <w:vAlign w:val="center"/>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vAlign w:val="center"/>
          </w:tcPr>
          <w:p>
            <w:pPr>
              <w:ind w:left="0" w:firstLine="0"/>
              <w:rPr>
                <w:rFonts w:ascii="宋体" w:hAnsi="宋体"/>
                <w:color w:val="000000" w:themeColor="text1"/>
                <w:highlight w:val="none"/>
                <w14:textFill>
                  <w14:solidFill>
                    <w14:schemeClr w14:val="tx1"/>
                  </w14:solidFill>
                </w14:textFill>
              </w:rPr>
            </w:pPr>
          </w:p>
        </w:tc>
        <w:tc>
          <w:tcPr>
            <w:tcW w:w="1043" w:type="dxa"/>
            <w:vAlign w:val="center"/>
          </w:tcPr>
          <w:p>
            <w:pPr>
              <w:ind w:left="0" w:firstLine="0"/>
              <w:rPr>
                <w:rFonts w:ascii="宋体" w:hAnsi="宋体"/>
                <w:color w:val="000000" w:themeColor="text1"/>
                <w:highlight w:val="none"/>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000000" w:themeColor="text1"/>
                <w:highlight w:val="none"/>
                <w14:textFill>
                  <w14:solidFill>
                    <w14:schemeClr w14:val="tx1"/>
                  </w14:solidFill>
                </w14:textFill>
              </w:rPr>
            </w:pPr>
          </w:p>
        </w:tc>
        <w:tc>
          <w:tcPr>
            <w:tcW w:w="1092" w:type="dxa"/>
            <w:vAlign w:val="center"/>
          </w:tcPr>
          <w:p>
            <w:pPr>
              <w:ind w:left="0" w:firstLine="0"/>
              <w:rPr>
                <w:rFonts w:ascii="宋体" w:hAnsi="宋体"/>
                <w:color w:val="000000" w:themeColor="text1"/>
                <w:highlight w:val="none"/>
                <w14:textFill>
                  <w14:solidFill>
                    <w14:schemeClr w14:val="tx1"/>
                  </w14:solidFill>
                </w14:textFill>
              </w:rPr>
            </w:pPr>
          </w:p>
        </w:tc>
        <w:tc>
          <w:tcPr>
            <w:tcW w:w="1789" w:type="dxa"/>
            <w:vAlign w:val="center"/>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2" w:type="dxa"/>
            <w:vAlign w:val="center"/>
          </w:tcPr>
          <w:p>
            <w:pPr>
              <w:ind w:left="0" w:firstLine="0"/>
              <w:rPr>
                <w:rFonts w:ascii="宋体" w:hAnsi="宋体"/>
                <w:color w:val="000000" w:themeColor="text1"/>
                <w:highlight w:val="none"/>
                <w14:textFill>
                  <w14:solidFill>
                    <w14:schemeClr w14:val="tx1"/>
                  </w14:solidFill>
                </w14:textFill>
              </w:rPr>
            </w:pPr>
          </w:p>
        </w:tc>
        <w:tc>
          <w:tcPr>
            <w:tcW w:w="993" w:type="dxa"/>
            <w:vAlign w:val="center"/>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vAlign w:val="center"/>
          </w:tcPr>
          <w:p>
            <w:pPr>
              <w:ind w:left="0" w:firstLine="0"/>
              <w:rPr>
                <w:rFonts w:ascii="宋体" w:hAnsi="宋体"/>
                <w:color w:val="000000" w:themeColor="text1"/>
                <w:highlight w:val="none"/>
                <w14:textFill>
                  <w14:solidFill>
                    <w14:schemeClr w14:val="tx1"/>
                  </w14:solidFill>
                </w14:textFill>
              </w:rPr>
            </w:pPr>
          </w:p>
        </w:tc>
        <w:tc>
          <w:tcPr>
            <w:tcW w:w="1043" w:type="dxa"/>
            <w:vAlign w:val="center"/>
          </w:tcPr>
          <w:p>
            <w:pPr>
              <w:ind w:left="0" w:firstLine="0"/>
              <w:rPr>
                <w:rFonts w:ascii="宋体" w:hAnsi="宋体"/>
                <w:color w:val="000000" w:themeColor="text1"/>
                <w:highlight w:val="none"/>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000000" w:themeColor="text1"/>
                <w:highlight w:val="none"/>
                <w14:textFill>
                  <w14:solidFill>
                    <w14:schemeClr w14:val="tx1"/>
                  </w14:solidFill>
                </w14:textFill>
              </w:rPr>
            </w:pPr>
          </w:p>
        </w:tc>
        <w:tc>
          <w:tcPr>
            <w:tcW w:w="1092" w:type="dxa"/>
            <w:vAlign w:val="center"/>
          </w:tcPr>
          <w:p>
            <w:pPr>
              <w:ind w:left="0" w:firstLine="0"/>
              <w:rPr>
                <w:rFonts w:ascii="宋体" w:hAnsi="宋体"/>
                <w:color w:val="000000" w:themeColor="text1"/>
                <w:highlight w:val="none"/>
                <w14:textFill>
                  <w14:solidFill>
                    <w14:schemeClr w14:val="tx1"/>
                  </w14:solidFill>
                </w14:textFill>
              </w:rPr>
            </w:pPr>
          </w:p>
        </w:tc>
        <w:tc>
          <w:tcPr>
            <w:tcW w:w="1789" w:type="dxa"/>
            <w:vAlign w:val="center"/>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2" w:type="dxa"/>
            <w:vAlign w:val="center"/>
          </w:tcPr>
          <w:p>
            <w:pPr>
              <w:ind w:left="0" w:firstLine="0"/>
              <w:rPr>
                <w:rFonts w:ascii="宋体" w:hAnsi="宋体"/>
                <w:color w:val="000000" w:themeColor="text1"/>
                <w:highlight w:val="none"/>
                <w14:textFill>
                  <w14:solidFill>
                    <w14:schemeClr w14:val="tx1"/>
                  </w14:solidFill>
                </w14:textFill>
              </w:rPr>
            </w:pPr>
          </w:p>
        </w:tc>
        <w:tc>
          <w:tcPr>
            <w:tcW w:w="993" w:type="dxa"/>
            <w:vAlign w:val="center"/>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vAlign w:val="center"/>
          </w:tcPr>
          <w:p>
            <w:pPr>
              <w:ind w:left="0" w:firstLine="0"/>
              <w:rPr>
                <w:rFonts w:ascii="宋体" w:hAnsi="宋体"/>
                <w:color w:val="000000" w:themeColor="text1"/>
                <w:highlight w:val="none"/>
                <w14:textFill>
                  <w14:solidFill>
                    <w14:schemeClr w14:val="tx1"/>
                  </w14:solidFill>
                </w14:textFill>
              </w:rPr>
            </w:pPr>
          </w:p>
        </w:tc>
        <w:tc>
          <w:tcPr>
            <w:tcW w:w="1043" w:type="dxa"/>
            <w:vAlign w:val="center"/>
          </w:tcPr>
          <w:p>
            <w:pPr>
              <w:ind w:left="0" w:firstLine="0"/>
              <w:rPr>
                <w:rFonts w:ascii="宋体" w:hAnsi="宋体"/>
                <w:color w:val="000000" w:themeColor="text1"/>
                <w:highlight w:val="none"/>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000000" w:themeColor="text1"/>
                <w:highlight w:val="none"/>
                <w14:textFill>
                  <w14:solidFill>
                    <w14:schemeClr w14:val="tx1"/>
                  </w14:solidFill>
                </w14:textFill>
              </w:rPr>
            </w:pPr>
          </w:p>
        </w:tc>
        <w:tc>
          <w:tcPr>
            <w:tcW w:w="1092" w:type="dxa"/>
            <w:vAlign w:val="center"/>
          </w:tcPr>
          <w:p>
            <w:pPr>
              <w:ind w:left="0" w:firstLine="0"/>
              <w:rPr>
                <w:rFonts w:ascii="宋体" w:hAnsi="宋体"/>
                <w:color w:val="000000" w:themeColor="text1"/>
                <w:highlight w:val="none"/>
                <w14:textFill>
                  <w14:solidFill>
                    <w14:schemeClr w14:val="tx1"/>
                  </w14:solidFill>
                </w14:textFill>
              </w:rPr>
            </w:pPr>
          </w:p>
        </w:tc>
        <w:tc>
          <w:tcPr>
            <w:tcW w:w="1789" w:type="dxa"/>
            <w:vAlign w:val="center"/>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2" w:type="dxa"/>
            <w:vAlign w:val="center"/>
          </w:tcPr>
          <w:p>
            <w:pPr>
              <w:ind w:left="0" w:firstLine="0"/>
              <w:rPr>
                <w:rFonts w:ascii="宋体" w:hAnsi="宋体"/>
                <w:color w:val="000000" w:themeColor="text1"/>
                <w:highlight w:val="none"/>
                <w14:textFill>
                  <w14:solidFill>
                    <w14:schemeClr w14:val="tx1"/>
                  </w14:solidFill>
                </w14:textFill>
              </w:rPr>
            </w:pPr>
          </w:p>
        </w:tc>
        <w:tc>
          <w:tcPr>
            <w:tcW w:w="993" w:type="dxa"/>
            <w:vAlign w:val="center"/>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vAlign w:val="center"/>
          </w:tcPr>
          <w:p>
            <w:pPr>
              <w:ind w:left="0" w:firstLine="0"/>
              <w:rPr>
                <w:rFonts w:ascii="宋体" w:hAnsi="宋体"/>
                <w:color w:val="000000" w:themeColor="text1"/>
                <w:highlight w:val="none"/>
                <w14:textFill>
                  <w14:solidFill>
                    <w14:schemeClr w14:val="tx1"/>
                  </w14:solidFill>
                </w14:textFill>
              </w:rPr>
            </w:pPr>
          </w:p>
        </w:tc>
        <w:tc>
          <w:tcPr>
            <w:tcW w:w="1043" w:type="dxa"/>
            <w:vAlign w:val="center"/>
          </w:tcPr>
          <w:p>
            <w:pPr>
              <w:ind w:left="0" w:firstLine="0"/>
              <w:rPr>
                <w:rFonts w:ascii="宋体" w:hAnsi="宋体"/>
                <w:color w:val="000000" w:themeColor="text1"/>
                <w:highlight w:val="none"/>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82" w:hRule="atLeast"/>
          <w:jc w:val="center"/>
        </w:trPr>
        <w:tc>
          <w:tcPr>
            <w:tcW w:w="599" w:type="dxa"/>
            <w:vAlign w:val="center"/>
          </w:tcPr>
          <w:p>
            <w:pPr>
              <w:ind w:left="0" w:firstLine="0"/>
              <w:rPr>
                <w:rFonts w:ascii="宋体" w:hAnsi="宋体"/>
                <w:color w:val="000000" w:themeColor="text1"/>
                <w:highlight w:val="none"/>
                <w14:textFill>
                  <w14:solidFill>
                    <w14:schemeClr w14:val="tx1"/>
                  </w14:solidFill>
                </w14:textFill>
              </w:rPr>
            </w:pPr>
          </w:p>
        </w:tc>
        <w:tc>
          <w:tcPr>
            <w:tcW w:w="1092" w:type="dxa"/>
            <w:vAlign w:val="center"/>
          </w:tcPr>
          <w:p>
            <w:pPr>
              <w:ind w:left="0" w:firstLine="0"/>
              <w:rPr>
                <w:rFonts w:ascii="宋体" w:hAnsi="宋体"/>
                <w:color w:val="000000" w:themeColor="text1"/>
                <w:highlight w:val="none"/>
                <w14:textFill>
                  <w14:solidFill>
                    <w14:schemeClr w14:val="tx1"/>
                  </w14:solidFill>
                </w14:textFill>
              </w:rPr>
            </w:pPr>
          </w:p>
        </w:tc>
        <w:tc>
          <w:tcPr>
            <w:tcW w:w="1789" w:type="dxa"/>
            <w:vAlign w:val="center"/>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2" w:type="dxa"/>
            <w:vAlign w:val="center"/>
          </w:tcPr>
          <w:p>
            <w:pPr>
              <w:ind w:left="0" w:firstLine="0"/>
              <w:rPr>
                <w:rFonts w:ascii="宋体" w:hAnsi="宋体"/>
                <w:color w:val="000000" w:themeColor="text1"/>
                <w:highlight w:val="none"/>
                <w14:textFill>
                  <w14:solidFill>
                    <w14:schemeClr w14:val="tx1"/>
                  </w14:solidFill>
                </w14:textFill>
              </w:rPr>
            </w:pPr>
          </w:p>
        </w:tc>
        <w:tc>
          <w:tcPr>
            <w:tcW w:w="993" w:type="dxa"/>
            <w:vAlign w:val="center"/>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vAlign w:val="center"/>
          </w:tcPr>
          <w:p>
            <w:pPr>
              <w:ind w:left="0" w:firstLine="0"/>
              <w:rPr>
                <w:rFonts w:ascii="宋体" w:hAnsi="宋体"/>
                <w:color w:val="000000" w:themeColor="text1"/>
                <w:highlight w:val="none"/>
                <w14:textFill>
                  <w14:solidFill>
                    <w14:schemeClr w14:val="tx1"/>
                  </w14:solidFill>
                </w14:textFill>
              </w:rPr>
            </w:pPr>
          </w:p>
        </w:tc>
        <w:tc>
          <w:tcPr>
            <w:tcW w:w="1043" w:type="dxa"/>
            <w:vAlign w:val="center"/>
          </w:tcPr>
          <w:p>
            <w:pPr>
              <w:ind w:left="0" w:firstLine="0"/>
              <w:rPr>
                <w:rFonts w:ascii="宋体" w:hAnsi="宋体"/>
                <w:color w:val="000000" w:themeColor="text1"/>
                <w:highlight w:val="none"/>
                <w14:textFill>
                  <w14:solidFill>
                    <w14:schemeClr w14:val="tx1"/>
                  </w14:solidFill>
                </w14:textFill>
              </w:rPr>
            </w:pPr>
          </w:p>
        </w:tc>
      </w:tr>
    </w:tbl>
    <w:p>
      <w:pPr>
        <w:spacing w:before="0"/>
        <w:ind w:left="567" w:right="-57" w:hanging="567"/>
        <w:jc w:val="left"/>
        <w:rPr>
          <w:rFonts w:ascii="宋体" w:hAnsi="宋体"/>
          <w:color w:val="000000" w:themeColor="text1"/>
          <w:highlight w:val="none"/>
          <w14:textFill>
            <w14:solidFill>
              <w14:schemeClr w14:val="tx1"/>
            </w14:solidFill>
          </w14:textFill>
        </w:rPr>
      </w:pPr>
    </w:p>
    <w:p>
      <w:pPr>
        <w:spacing w:before="0" w:after="0" w:afterAutospacing="0"/>
        <w:ind w:left="0" w:right="0" w:firstLine="420" w:firstLineChars="200"/>
        <w:rPr>
          <w:rFonts w:hint="eastAsia" w:ascii="宋体" w:hAnsi="宋体" w:eastAsia="宋体"/>
          <w:color w:val="000000" w:themeColor="text1"/>
          <w:highlight w:val="none"/>
          <w:lang w:eastAsia="zh-CN"/>
          <w14:textFill>
            <w14:solidFill>
              <w14:schemeClr w14:val="tx1"/>
            </w14:solidFill>
          </w14:textFill>
        </w:rPr>
      </w:pPr>
      <w:r>
        <w:rPr>
          <w:rFonts w:ascii="宋体" w:hAnsi="宋体"/>
          <w:color w:val="000000" w:themeColor="text1"/>
          <w:highlight w:val="none"/>
          <w14:textFill>
            <w14:solidFill>
              <w14:schemeClr w14:val="tx1"/>
            </w14:solidFill>
          </w14:textFill>
        </w:rPr>
        <w:t>注：1.</w:t>
      </w:r>
      <w:r>
        <w:rPr>
          <w:rFonts w:hint="eastAsia" w:ascii="宋体" w:hAnsi="宋体"/>
          <w:color w:val="000000" w:themeColor="text1"/>
          <w:highlight w:val="none"/>
          <w14:textFill>
            <w14:solidFill>
              <w14:schemeClr w14:val="tx1"/>
            </w14:solidFill>
          </w14:textFill>
        </w:rPr>
        <w:t>类似项目业绩：</w:t>
      </w:r>
      <w:r>
        <w:rPr>
          <w:rFonts w:hint="eastAsia" w:ascii="宋体" w:hAnsi="宋体"/>
          <w:color w:val="000000" w:themeColor="text1"/>
          <w:highlight w:val="none"/>
          <w:lang w:val="en-US" w:eastAsia="zh-CN"/>
          <w14:textFill>
            <w14:solidFill>
              <w14:schemeClr w14:val="tx1"/>
            </w14:solidFill>
          </w14:textFill>
        </w:rPr>
        <w:t>比选申请人自2021年1月1日至比选申请截止时间前，承接过（完工/在建项目）1个及以上40万元（含）以上的市政工程设计项目。</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2.</w:t>
      </w:r>
      <w:r>
        <w:rPr>
          <w:rFonts w:hint="eastAsia" w:ascii="宋体" w:hAnsi="宋体"/>
          <w:color w:val="000000" w:themeColor="text1"/>
          <w:highlight w:val="none"/>
          <w14:textFill>
            <w14:solidFill>
              <w14:schemeClr w14:val="tx1"/>
            </w14:solidFill>
          </w14:textFill>
        </w:rPr>
        <w:t>项目按照时间顺序排列，时间以合同签订时间为准。</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3.</w:t>
      </w:r>
      <w:r>
        <w:rPr>
          <w:rFonts w:hint="eastAsia" w:ascii="宋体" w:hAnsi="宋体"/>
          <w:color w:val="000000" w:themeColor="text1"/>
          <w:highlight w:val="none"/>
          <w14:textFill>
            <w14:solidFill>
              <w14:schemeClr w14:val="tx1"/>
            </w14:solidFill>
          </w14:textFill>
        </w:rPr>
        <w:t>比选申请人须提供相应的业绩证明材料：提供下述材料之一即可：①合同文件；②中标通知书。所提供的材料须能明确反映类似项目特征，复印件加盖比选申请人公章。</w:t>
      </w:r>
    </w:p>
    <w:p>
      <w:pPr>
        <w:snapToGrid w:val="0"/>
        <w:spacing w:after="50" w:line="280" w:lineRule="exact"/>
        <w:ind w:left="955" w:right="-817" w:firstLine="2520" w:firstLineChars="1200"/>
        <w:rPr>
          <w:rFonts w:ascii="宋体" w:hAnsi="宋体"/>
          <w:color w:val="000000" w:themeColor="text1"/>
          <w:highlight w:val="none"/>
          <w14:textFill>
            <w14:solidFill>
              <w14:schemeClr w14:val="tx1"/>
            </w14:solidFill>
          </w14:textFill>
        </w:rPr>
      </w:pPr>
    </w:p>
    <w:p>
      <w:pPr>
        <w:snapToGrid w:val="0"/>
        <w:spacing w:after="50" w:line="280" w:lineRule="exact"/>
        <w:ind w:left="955" w:right="-817" w:firstLine="2520" w:firstLineChars="1200"/>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比选申请人名称（盖章）：</w:t>
      </w:r>
    </w:p>
    <w:p>
      <w:pPr>
        <w:snapToGrid w:val="0"/>
        <w:spacing w:after="50" w:line="280" w:lineRule="exact"/>
        <w:ind w:right="-817" w:firstLine="2625" w:firstLineChars="1250"/>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 法定代表人或被授权人（签字）：</w:t>
      </w:r>
    </w:p>
    <w:p>
      <w:pPr>
        <w:ind w:left="710" w:leftChars="338" w:right="-57" w:firstLine="3234" w:firstLineChars="1540"/>
        <w:jc w:val="left"/>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日  期：年月日</w:t>
      </w:r>
    </w:p>
    <w:p>
      <w:pPr>
        <w:pStyle w:val="2"/>
        <w:pageBreakBefore/>
        <w:spacing w:after="100"/>
        <w:ind w:left="0" w:right="-57" w:firstLine="0"/>
        <w:jc w:val="center"/>
        <w:rPr>
          <w:rFonts w:ascii="宋体" w:hAnsi="宋体"/>
          <w:color w:val="000000" w:themeColor="text1"/>
          <w:sz w:val="24"/>
          <w:szCs w:val="24"/>
          <w:highlight w:val="none"/>
          <w14:textFill>
            <w14:solidFill>
              <w14:schemeClr w14:val="tx1"/>
            </w14:solidFill>
          </w14:textFill>
        </w:rPr>
      </w:pPr>
      <w:bookmarkStart w:id="1286" w:name="_Toc8914"/>
      <w:bookmarkStart w:id="1287" w:name="_Toc14988"/>
      <w:bookmarkStart w:id="1288" w:name="_Toc27820"/>
      <w:bookmarkStart w:id="1289" w:name="_Toc13328"/>
      <w:bookmarkStart w:id="1290" w:name="_Toc12984811"/>
      <w:bookmarkStart w:id="1291" w:name="_Toc414290525"/>
      <w:bookmarkStart w:id="1292" w:name="_Toc8451"/>
      <w:bookmarkStart w:id="1293" w:name="_Toc23770"/>
      <w:bookmarkStart w:id="1294" w:name="_Toc29358"/>
      <w:bookmarkStart w:id="1295" w:name="_Toc10812"/>
      <w:bookmarkStart w:id="1296" w:name="_Toc16676"/>
      <w:bookmarkStart w:id="1297" w:name="_Toc28662"/>
      <w:bookmarkStart w:id="1298" w:name="_Toc24971"/>
      <w:bookmarkStart w:id="1299" w:name="_Toc18876"/>
      <w:bookmarkStart w:id="1300" w:name="_Toc14586"/>
      <w:bookmarkStart w:id="1301" w:name="_Toc12677"/>
      <w:bookmarkStart w:id="1302" w:name="_Toc12983551"/>
      <w:bookmarkStart w:id="1303" w:name="_Toc17687"/>
      <w:bookmarkStart w:id="1304" w:name="_Toc8874"/>
      <w:bookmarkStart w:id="1305" w:name="_Toc492478807"/>
      <w:bookmarkStart w:id="1306" w:name="_Toc11582"/>
      <w:bookmarkStart w:id="1307" w:name="_Toc4061"/>
      <w:bookmarkStart w:id="1308" w:name="_Toc4087"/>
      <w:bookmarkStart w:id="1309" w:name="_Toc114134667"/>
      <w:r>
        <w:rPr>
          <w:rFonts w:ascii="宋体" w:hAnsi="宋体"/>
          <w:color w:val="000000" w:themeColor="text1"/>
          <w:sz w:val="24"/>
          <w:szCs w:val="24"/>
          <w:highlight w:val="none"/>
          <w14:textFill>
            <w14:solidFill>
              <w14:schemeClr w14:val="tx1"/>
            </w14:solidFill>
          </w14:textFill>
        </w:rPr>
        <w:t xml:space="preserve">B </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r>
        <w:rPr>
          <w:rFonts w:hint="eastAsia" w:ascii="宋体" w:hAnsi="宋体"/>
          <w:color w:val="000000" w:themeColor="text1"/>
          <w:sz w:val="24"/>
          <w:szCs w:val="24"/>
          <w:highlight w:val="none"/>
          <w14:textFill>
            <w14:solidFill>
              <w14:schemeClr w14:val="tx1"/>
            </w14:solidFill>
          </w14:textFill>
        </w:rPr>
        <w:t>价格文件</w:t>
      </w:r>
      <w:bookmarkEnd w:id="1307"/>
      <w:bookmarkEnd w:id="1308"/>
      <w:bookmarkEnd w:id="1309"/>
    </w:p>
    <w:p>
      <w:pPr>
        <w:spacing w:before="0" w:after="0" w:afterAutospacing="0"/>
        <w:ind w:left="0" w:right="0" w:firstLine="422" w:firstLineChars="200"/>
        <w:jc w:val="left"/>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价格文件格式</w:t>
      </w:r>
    </w:p>
    <w:p>
      <w:pPr>
        <w:spacing w:before="0" w:after="0" w:afterAutospacing="0" w:line="276" w:lineRule="auto"/>
        <w:ind w:left="0" w:right="0"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1</w:t>
      </w:r>
      <w:r>
        <w:rPr>
          <w:rFonts w:hint="eastAsia"/>
          <w:color w:val="000000" w:themeColor="text1"/>
          <w:highlight w:val="none"/>
          <w14:textFill>
            <w14:solidFill>
              <w14:schemeClr w14:val="tx1"/>
            </w14:solidFill>
          </w14:textFill>
        </w:rPr>
        <w:t>）比选申请报价一览表（格式见B1）；</w:t>
      </w:r>
    </w:p>
    <w:p>
      <w:pPr>
        <w:spacing w:before="0" w:after="0" w:afterAutospacing="0" w:line="276" w:lineRule="auto"/>
        <w:ind w:left="0" w:right="0"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2</w:t>
      </w:r>
      <w:r>
        <w:rPr>
          <w:rFonts w:hint="eastAsia"/>
          <w:color w:val="000000" w:themeColor="text1"/>
          <w:highlight w:val="none"/>
          <w14:textFill>
            <w14:solidFill>
              <w14:schemeClr w14:val="tx1"/>
            </w14:solidFill>
          </w14:textFill>
        </w:rPr>
        <w:t>）比选申请函（格式见B2）；</w:t>
      </w:r>
    </w:p>
    <w:p>
      <w:pPr>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（3）比选申请人认为应提交的其他比选申请资料（如有）。</w:t>
      </w:r>
    </w:p>
    <w:p>
      <w:pPr>
        <w:pStyle w:val="3"/>
        <w:tabs>
          <w:tab w:val="left" w:pos="567"/>
          <w:tab w:val="left" w:pos="720"/>
        </w:tabs>
        <w:snapToGrid w:val="0"/>
        <w:spacing w:after="0" w:line="360" w:lineRule="auto"/>
        <w:ind w:right="-57"/>
        <w:jc w:val="left"/>
        <w:rPr>
          <w:rFonts w:ascii="宋体" w:hAnsi="宋体" w:eastAsia="宋体"/>
          <w:color w:val="000000" w:themeColor="text1"/>
          <w:sz w:val="21"/>
          <w:szCs w:val="21"/>
          <w:highlight w:val="none"/>
          <w14:textFill>
            <w14:solidFill>
              <w14:schemeClr w14:val="tx1"/>
            </w14:solidFill>
          </w14:textFill>
        </w:rPr>
        <w:sectPr>
          <w:headerReference r:id="rId17" w:type="first"/>
          <w:headerReference r:id="rId16" w:type="default"/>
          <w:pgSz w:w="11905" w:h="16838"/>
          <w:pgMar w:top="1418" w:right="1418" w:bottom="1304" w:left="1418" w:header="454" w:footer="567" w:gutter="0"/>
          <w:cols w:space="720" w:num="1"/>
          <w:docGrid w:linePitch="312" w:charSpace="0"/>
        </w:sectPr>
      </w:pPr>
      <w:bookmarkStart w:id="1310" w:name="_Toc5823"/>
      <w:bookmarkStart w:id="1311" w:name="_Toc375564355"/>
      <w:bookmarkStart w:id="1312" w:name="_Toc12951"/>
      <w:bookmarkStart w:id="1313" w:name="_Toc29688"/>
      <w:bookmarkStart w:id="1314" w:name="_Toc12983552"/>
      <w:bookmarkStart w:id="1315" w:name="_Toc12984812"/>
      <w:bookmarkStart w:id="1316" w:name="_Toc492478808"/>
      <w:bookmarkStart w:id="1317" w:name="_Toc7004"/>
      <w:bookmarkStart w:id="1318" w:name="_Toc16489"/>
      <w:bookmarkStart w:id="1319" w:name="_Toc29231"/>
      <w:bookmarkStart w:id="1320" w:name="_Toc10991"/>
      <w:bookmarkStart w:id="1321" w:name="_Toc24487"/>
      <w:bookmarkStart w:id="1322" w:name="_Toc25419"/>
      <w:bookmarkStart w:id="1323" w:name="_Toc9861"/>
      <w:bookmarkStart w:id="1324" w:name="_Toc27610"/>
      <w:bookmarkStart w:id="1325" w:name="_Toc23615"/>
      <w:bookmarkStart w:id="1326" w:name="_Toc9560"/>
      <w:bookmarkStart w:id="1327" w:name="_Toc414290526"/>
      <w:bookmarkStart w:id="1328" w:name="_Toc1158"/>
      <w:bookmarkStart w:id="1329" w:name="_Toc114134668"/>
      <w:bookmarkStart w:id="1330" w:name="_Toc6992"/>
      <w:bookmarkStart w:id="1331" w:name="_Toc24326"/>
      <w:bookmarkStart w:id="1332" w:name="_Toc25750680"/>
      <w:bookmarkStart w:id="1333" w:name="_Toc13980"/>
      <w:bookmarkStart w:id="1334" w:name="_Toc18516"/>
      <w:bookmarkStart w:id="1335" w:name="_Toc18340"/>
      <w:bookmarkStart w:id="1336" w:name="_Toc21674"/>
    </w:p>
    <w:p>
      <w:pPr>
        <w:pStyle w:val="3"/>
        <w:tabs>
          <w:tab w:val="left" w:pos="567"/>
          <w:tab w:val="left" w:pos="720"/>
        </w:tabs>
        <w:snapToGrid w:val="0"/>
        <w:spacing w:after="0" w:line="360" w:lineRule="auto"/>
        <w:ind w:right="-57"/>
        <w:jc w:val="left"/>
        <w:rPr>
          <w:rFonts w:ascii="宋体" w:hAnsi="宋体" w:eastAsia="宋体"/>
          <w:color w:val="000000" w:themeColor="text1"/>
          <w:sz w:val="21"/>
          <w:szCs w:val="21"/>
          <w:highlight w:val="yellow"/>
          <w14:textFill>
            <w14:solidFill>
              <w14:schemeClr w14:val="tx1"/>
            </w14:solidFill>
          </w14:textFill>
        </w:rPr>
      </w:pPr>
      <w:r>
        <w:rPr>
          <w:rFonts w:ascii="宋体" w:hAnsi="宋体" w:eastAsia="宋体"/>
          <w:color w:val="000000" w:themeColor="text1"/>
          <w:sz w:val="21"/>
          <w:szCs w:val="21"/>
          <w:highlight w:val="none"/>
          <w14:textFill>
            <w14:solidFill>
              <w14:schemeClr w14:val="tx1"/>
            </w14:solidFill>
          </w14:textFill>
        </w:rPr>
        <w:t>B1比选申请报价一览表</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pPr>
        <w:snapToGrid w:val="0"/>
        <w:spacing w:after="50"/>
        <w:ind w:right="-57" w:firstLine="0"/>
        <w:jc w:val="center"/>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比选申请报价一览表</w:t>
      </w:r>
    </w:p>
    <w:tbl>
      <w:tblPr>
        <w:tblStyle w:val="35"/>
        <w:tblW w:w="1420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39"/>
        <w:gridCol w:w="2557"/>
        <w:gridCol w:w="2427"/>
        <w:gridCol w:w="1523"/>
        <w:gridCol w:w="1529"/>
        <w:gridCol w:w="1776"/>
        <w:gridCol w:w="1535"/>
        <w:gridCol w:w="171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1139" w:type="dxa"/>
            <w:tcBorders>
              <w:top w:val="single" w:color="000000" w:sz="8" w:space="0"/>
              <w:left w:val="single" w:color="000000" w:sz="8"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序号</w:t>
            </w:r>
          </w:p>
        </w:tc>
        <w:tc>
          <w:tcPr>
            <w:tcW w:w="2557" w:type="dxa"/>
            <w:tcBorders>
              <w:top w:val="single" w:color="000000" w:sz="8"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项目</w:t>
            </w:r>
          </w:p>
        </w:tc>
        <w:tc>
          <w:tcPr>
            <w:tcW w:w="2427" w:type="dxa"/>
            <w:tcBorders>
              <w:top w:val="single" w:color="000000" w:sz="8"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宋体" w:hAnsi="宋体" w:eastAsia="宋体" w:cs="宋体"/>
                <w:b/>
                <w:bCs/>
                <w:i w:val="0"/>
                <w:iCs w:val="0"/>
                <w:color w:val="000000"/>
                <w:sz w:val="24"/>
                <w:szCs w:val="24"/>
                <w:highlight w:val="none"/>
                <w:u w:val="none"/>
                <w:lang w:val="en-US"/>
              </w:rPr>
            </w:pPr>
            <w:r>
              <w:rPr>
                <w:rFonts w:hint="eastAsia" w:ascii="宋体" w:hAnsi="宋体" w:cs="宋体"/>
                <w:b/>
                <w:bCs/>
                <w:i w:val="0"/>
                <w:iCs w:val="0"/>
                <w:color w:val="000000"/>
                <w:kern w:val="0"/>
                <w:sz w:val="24"/>
                <w:szCs w:val="24"/>
                <w:highlight w:val="none"/>
                <w:u w:val="none"/>
                <w:lang w:val="en-US" w:eastAsia="zh-CN" w:bidi="ar"/>
              </w:rPr>
              <w:t>建安费用（万元）</w:t>
            </w:r>
          </w:p>
        </w:tc>
        <w:tc>
          <w:tcPr>
            <w:tcW w:w="1523" w:type="dxa"/>
            <w:tcBorders>
              <w:top w:val="single" w:color="000000" w:sz="8"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ind w:left="0" w:right="0" w:firstLine="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cs="宋体"/>
                <w:b/>
                <w:bCs/>
                <w:i w:val="0"/>
                <w:iCs w:val="0"/>
                <w:color w:val="000000"/>
                <w:kern w:val="0"/>
                <w:sz w:val="24"/>
                <w:szCs w:val="24"/>
                <w:highlight w:val="none"/>
                <w:u w:val="none"/>
                <w:lang w:val="en-US" w:eastAsia="zh-CN" w:bidi="ar"/>
              </w:rPr>
              <w:t>工程设计收费暂定基准价（元）</w:t>
            </w:r>
          </w:p>
        </w:tc>
        <w:tc>
          <w:tcPr>
            <w:tcW w:w="1529" w:type="dxa"/>
            <w:tcBorders>
              <w:top w:val="single" w:color="000000" w:sz="8"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ind w:left="0" w:right="-28" w:firstLine="0"/>
              <w:jc w:val="left"/>
              <w:textAlignment w:val="center"/>
              <w:rPr>
                <w:rFonts w:hint="default" w:ascii="宋体" w:hAnsi="宋体" w:eastAsia="宋体" w:cs="宋体"/>
                <w:b/>
                <w:bCs/>
                <w:i w:val="0"/>
                <w:iCs w:val="0"/>
                <w:color w:val="000000"/>
                <w:sz w:val="24"/>
                <w:szCs w:val="24"/>
                <w:highlight w:val="none"/>
                <w:u w:val="none"/>
                <w:lang w:val="en-US" w:eastAsia="zh-CN"/>
              </w:rPr>
            </w:pPr>
            <w:r>
              <w:rPr>
                <w:rFonts w:hint="eastAsia" w:ascii="宋体" w:hAnsi="宋体" w:cs="宋体"/>
                <w:b/>
                <w:bCs/>
                <w:i w:val="0"/>
                <w:iCs w:val="0"/>
                <w:color w:val="000000"/>
                <w:sz w:val="24"/>
                <w:szCs w:val="24"/>
                <w:highlight w:val="none"/>
                <w:u w:val="none"/>
                <w:lang w:val="en-US" w:eastAsia="zh-CN"/>
              </w:rPr>
              <w:t>下浮系数报价（%）</w:t>
            </w:r>
          </w:p>
        </w:tc>
        <w:tc>
          <w:tcPr>
            <w:tcW w:w="1776" w:type="dxa"/>
            <w:tcBorders>
              <w:top w:val="single" w:color="000000" w:sz="8"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after="0" w:afterAutospacing="0"/>
              <w:ind w:left="0" w:right="0" w:firstLine="0"/>
              <w:jc w:val="center"/>
              <w:textAlignment w:val="center"/>
              <w:rPr>
                <w:rFonts w:hint="eastAsia" w:ascii="宋体" w:hAnsi="宋体" w:eastAsia="宋体" w:cs="宋体"/>
                <w:b/>
                <w:bCs/>
                <w:i w:val="0"/>
                <w:iCs w:val="0"/>
                <w:color w:val="000000"/>
                <w:sz w:val="24"/>
                <w:szCs w:val="24"/>
                <w:highlight w:val="none"/>
                <w:u w:val="none"/>
                <w:lang w:val="en-US" w:eastAsia="zh-CN"/>
              </w:rPr>
            </w:pPr>
            <w:r>
              <w:rPr>
                <w:rFonts w:hint="eastAsia" w:ascii="宋体" w:hAnsi="宋体" w:cs="宋体"/>
                <w:b/>
                <w:bCs/>
                <w:i w:val="0"/>
                <w:iCs w:val="0"/>
                <w:color w:val="000000"/>
                <w:sz w:val="24"/>
                <w:szCs w:val="24"/>
                <w:highlight w:val="none"/>
                <w:u w:val="none"/>
                <w:lang w:val="en-US" w:eastAsia="zh-CN"/>
              </w:rPr>
              <w:t>合同暂定含税总价（元）</w:t>
            </w:r>
          </w:p>
        </w:tc>
        <w:tc>
          <w:tcPr>
            <w:tcW w:w="1535" w:type="dxa"/>
            <w:tcBorders>
              <w:top w:val="single" w:color="000000" w:sz="8"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宋体" w:hAnsi="宋体" w:eastAsia="宋体" w:cs="宋体"/>
                <w:b/>
                <w:bCs/>
                <w:i w:val="0"/>
                <w:iCs w:val="0"/>
                <w:color w:val="000000"/>
                <w:sz w:val="24"/>
                <w:szCs w:val="24"/>
                <w:highlight w:val="none"/>
                <w:u w:val="none"/>
                <w:lang w:val="en-US" w:eastAsia="zh-CN"/>
              </w:rPr>
            </w:pPr>
            <w:r>
              <w:rPr>
                <w:rFonts w:hint="eastAsia" w:ascii="宋体" w:hAnsi="宋体" w:cs="宋体"/>
                <w:b/>
                <w:bCs/>
                <w:i w:val="0"/>
                <w:iCs w:val="0"/>
                <w:color w:val="000000"/>
                <w:sz w:val="24"/>
                <w:szCs w:val="24"/>
                <w:highlight w:val="none"/>
                <w:u w:val="none"/>
                <w:lang w:val="en-US" w:eastAsia="zh-CN"/>
              </w:rPr>
              <w:t>增值税税率</w:t>
            </w:r>
          </w:p>
        </w:tc>
        <w:tc>
          <w:tcPr>
            <w:tcW w:w="1719" w:type="dxa"/>
            <w:tcBorders>
              <w:top w:val="single" w:color="000000" w:sz="8" w:space="0"/>
              <w:left w:val="single" w:color="000000" w:sz="4" w:space="0"/>
              <w:bottom w:val="single" w:color="000000" w:sz="4" w:space="0"/>
              <w:right w:val="single" w:color="000000" w:sz="8"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cs="宋体"/>
                <w:b/>
                <w:bCs/>
                <w:i w:val="0"/>
                <w:iCs w:val="0"/>
                <w:color w:val="000000"/>
                <w:kern w:val="0"/>
                <w:sz w:val="24"/>
                <w:szCs w:val="24"/>
                <w:highlight w:val="none"/>
                <w:u w:val="none"/>
                <w:lang w:val="en-US" w:eastAsia="zh-CN" w:bidi="ar"/>
              </w:rPr>
              <w:t>增值</w:t>
            </w:r>
            <w:r>
              <w:rPr>
                <w:rFonts w:hint="eastAsia" w:ascii="宋体" w:hAnsi="宋体" w:eastAsia="宋体" w:cs="宋体"/>
                <w:b/>
                <w:bCs/>
                <w:i w:val="0"/>
                <w:iCs w:val="0"/>
                <w:color w:val="000000"/>
                <w:kern w:val="0"/>
                <w:sz w:val="24"/>
                <w:szCs w:val="24"/>
                <w:highlight w:val="none"/>
                <w:u w:val="none"/>
                <w:lang w:val="en-US" w:eastAsia="zh-CN" w:bidi="ar"/>
              </w:rPr>
              <w:t>税金（元）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0" w:type="auto"/>
            <w:tcBorders>
              <w:top w:val="single" w:color="000000" w:sz="4"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after="0" w:afterAutospacing="0"/>
              <w:ind w:left="0" w:right="0" w:firstLine="0"/>
              <w:jc w:val="center"/>
              <w:textAlignment w:val="cente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kern w:val="0"/>
                <w:sz w:val="24"/>
                <w:szCs w:val="24"/>
                <w:highlight w:val="none"/>
                <w:u w:val="none"/>
                <w:lang w:val="en-US" w:eastAsia="zh-CN" w:bidi="ar"/>
              </w:rPr>
              <w:t>南宁市白沙半岛片区城中村改造项目安置住房小区4号地块配套基础设施-纵一路设计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宋体" w:hAnsi="宋体" w:eastAsia="宋体" w:cs="宋体"/>
                <w:i w:val="0"/>
                <w:iCs w:val="0"/>
                <w:color w:val="000000"/>
                <w:sz w:val="24"/>
                <w:szCs w:val="24"/>
                <w:highlight w:val="none"/>
                <w:u w:val="none"/>
                <w:lang w:val="en-US"/>
              </w:rPr>
            </w:pPr>
            <w:r>
              <w:rPr>
                <w:rFonts w:hint="eastAsia" w:ascii="宋体" w:hAnsi="宋体" w:cs="宋体"/>
                <w:i w:val="0"/>
                <w:iCs w:val="0"/>
                <w:color w:val="000000"/>
                <w:sz w:val="24"/>
                <w:szCs w:val="24"/>
                <w:highlight w:val="none"/>
                <w:u w:val="none"/>
                <w:lang w:val="en-US" w:eastAsia="zh-CN"/>
              </w:rPr>
              <w:t>2461.46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815510.90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highlight w:val="none"/>
                <w:u w:val="none"/>
              </w:rPr>
            </w:pPr>
          </w:p>
        </w:tc>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5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719" w:type="dxa"/>
            <w:tcBorders>
              <w:top w:val="single" w:color="000000" w:sz="4" w:space="0"/>
              <w:left w:val="single" w:color="000000" w:sz="4" w:space="0"/>
              <w:bottom w:val="single" w:color="000000" w:sz="4"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0" w:type="auto"/>
            <w:tcBorders>
              <w:top w:val="single" w:color="000000" w:sz="4" w:space="0"/>
              <w:left w:val="single" w:color="000000" w:sz="8"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cs="宋体"/>
                <w:b/>
                <w:bCs/>
                <w:i w:val="0"/>
                <w:iCs w:val="0"/>
                <w:color w:val="000000"/>
                <w:kern w:val="0"/>
                <w:sz w:val="24"/>
                <w:szCs w:val="24"/>
                <w:highlight w:val="none"/>
                <w:u w:val="none"/>
                <w:lang w:val="en-US" w:eastAsia="zh-CN" w:bidi="ar"/>
              </w:rPr>
              <w:t>2</w:t>
            </w:r>
          </w:p>
        </w:tc>
        <w:tc>
          <w:tcPr>
            <w:tcW w:w="0" w:type="auto"/>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总计</w:t>
            </w:r>
          </w:p>
        </w:tc>
        <w:tc>
          <w:tcPr>
            <w:tcW w:w="0" w:type="auto"/>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b/>
                <w:bCs/>
                <w:i w:val="0"/>
                <w:iCs w:val="0"/>
                <w:color w:val="000000"/>
                <w:sz w:val="24"/>
                <w:szCs w:val="24"/>
                <w:highlight w:val="none"/>
                <w:u w:val="none"/>
                <w:lang w:val="en-US"/>
              </w:rPr>
            </w:pPr>
          </w:p>
        </w:tc>
        <w:tc>
          <w:tcPr>
            <w:tcW w:w="0" w:type="auto"/>
            <w:tcBorders>
              <w:top w:val="single" w:color="000000" w:sz="4" w:space="0"/>
              <w:left w:val="single" w:color="000000" w:sz="4" w:space="0"/>
              <w:bottom w:val="single" w:color="000000" w:sz="8"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highlight w:val="none"/>
                <w:u w:val="none"/>
              </w:rPr>
            </w:pPr>
          </w:p>
        </w:tc>
        <w:tc>
          <w:tcPr>
            <w:tcW w:w="0" w:type="auto"/>
            <w:tcBorders>
              <w:top w:val="single" w:color="000000" w:sz="4" w:space="0"/>
              <w:left w:val="single" w:color="000000" w:sz="4" w:space="0"/>
              <w:bottom w:val="single" w:color="000000" w:sz="8"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highlight w:val="none"/>
                <w:u w:val="none"/>
              </w:rPr>
            </w:pPr>
          </w:p>
        </w:tc>
        <w:tc>
          <w:tcPr>
            <w:tcW w:w="1776" w:type="dxa"/>
            <w:tcBorders>
              <w:top w:val="single" w:color="000000" w:sz="4" w:space="0"/>
              <w:left w:val="single" w:color="000000" w:sz="4" w:space="0"/>
              <w:bottom w:val="single" w:color="000000" w:sz="8"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highlight w:val="none"/>
                <w:u w:val="none"/>
              </w:rPr>
            </w:pPr>
          </w:p>
        </w:tc>
        <w:tc>
          <w:tcPr>
            <w:tcW w:w="0" w:type="auto"/>
            <w:tcBorders>
              <w:top w:val="single" w:color="000000" w:sz="4" w:space="0"/>
              <w:left w:val="single" w:color="000000" w:sz="4" w:space="0"/>
              <w:bottom w:val="single" w:color="000000" w:sz="8"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highlight w:val="none"/>
                <w:u w:val="none"/>
              </w:rPr>
            </w:pPr>
          </w:p>
        </w:tc>
        <w:tc>
          <w:tcPr>
            <w:tcW w:w="1719" w:type="dxa"/>
            <w:tcBorders>
              <w:top w:val="single" w:color="000000" w:sz="4" w:space="0"/>
              <w:left w:val="single" w:color="000000" w:sz="4" w:space="0"/>
              <w:bottom w:val="single" w:color="000000" w:sz="8" w:space="0"/>
              <w:right w:val="single" w:color="000000" w:sz="8" w:space="0"/>
            </w:tcBorders>
            <w:shd w:val="clear" w:color="auto" w:fill="auto"/>
            <w:vAlign w:val="center"/>
          </w:tcPr>
          <w:p>
            <w:pPr>
              <w:jc w:val="center"/>
              <w:rPr>
                <w:rFonts w:hint="eastAsia" w:ascii="宋体" w:hAnsi="宋体" w:eastAsia="宋体" w:cs="宋体"/>
                <w:b/>
                <w:bCs/>
                <w:i w:val="0"/>
                <w:iCs w:val="0"/>
                <w:color w:val="000000"/>
                <w:sz w:val="24"/>
                <w:szCs w:val="24"/>
                <w:highlight w:val="none"/>
                <w:u w:val="none"/>
              </w:rPr>
            </w:pPr>
          </w:p>
        </w:tc>
      </w:tr>
    </w:tbl>
    <w:p>
      <w:pPr>
        <w:spacing w:before="0" w:after="0" w:afterAutospacing="0"/>
        <w:ind w:left="0" w:leftChars="0" w:right="0" w:firstLine="0" w:firstLineChars="0"/>
        <w:rPr>
          <w:rFonts w:hAnsi="宋体"/>
          <w:color w:val="000000" w:themeColor="text1"/>
          <w:highlight w:val="none"/>
          <w14:textFill>
            <w14:solidFill>
              <w14:schemeClr w14:val="tx1"/>
            </w14:solidFill>
          </w14:textFill>
        </w:rPr>
      </w:pPr>
    </w:p>
    <w:p>
      <w:pPr>
        <w:numPr>
          <w:ilvl w:val="255"/>
          <w:numId w:val="0"/>
        </w:numPr>
        <w:spacing w:before="0" w:after="0" w:afterAutospacing="0" w:line="240" w:lineRule="auto"/>
        <w:ind w:right="0" w:firstLine="424" w:firstLineChars="202"/>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注</w:t>
      </w:r>
      <w:r>
        <w:rPr>
          <w:rFonts w:ascii="宋体" w:hAnsi="宋体"/>
          <w:color w:val="000000" w:themeColor="text1"/>
          <w:highlight w:val="none"/>
          <w14:textFill>
            <w14:solidFill>
              <w14:schemeClr w14:val="tx1"/>
            </w14:solidFill>
          </w14:textFill>
        </w:rPr>
        <w:t>:</w:t>
      </w:r>
    </w:p>
    <w:p>
      <w:pPr>
        <w:pStyle w:val="11"/>
        <w:keepNext w:val="0"/>
        <w:keepLines w:val="0"/>
        <w:pageBreakBefore w:val="0"/>
        <w:widowControl/>
        <w:numPr>
          <w:ilvl w:val="0"/>
          <w:numId w:val="9"/>
        </w:numPr>
        <w:kinsoku/>
        <w:wordWrap/>
        <w:overflowPunct/>
        <w:topLinePunct w:val="0"/>
        <w:autoSpaceDE/>
        <w:autoSpaceDN/>
        <w:bidi w:val="0"/>
        <w:adjustRightInd/>
        <w:snapToGrid/>
        <w:spacing w:before="0" w:line="219" w:lineRule="auto"/>
        <w:ind w:left="0" w:right="0" w:firstLine="206" w:firstLineChars="100"/>
        <w:textAlignment w:val="auto"/>
        <w:rPr>
          <w:spacing w:val="-2"/>
          <w:sz w:val="21"/>
          <w:szCs w:val="21"/>
          <w:highlight w:val="none"/>
        </w:rPr>
      </w:pPr>
      <w:r>
        <w:rPr>
          <w:spacing w:val="-2"/>
          <w:sz w:val="21"/>
          <w:szCs w:val="21"/>
          <w:highlight w:val="none"/>
        </w:rPr>
        <w:t>设计费</w:t>
      </w:r>
      <w:r>
        <w:rPr>
          <w:rFonts w:hint="eastAsia"/>
          <w:spacing w:val="-2"/>
          <w:sz w:val="21"/>
          <w:szCs w:val="21"/>
          <w:highlight w:val="none"/>
          <w:lang w:eastAsia="zh-CN"/>
        </w:rPr>
        <w:t>（</w:t>
      </w:r>
      <w:r>
        <w:rPr>
          <w:rFonts w:hint="eastAsia"/>
          <w:spacing w:val="-2"/>
          <w:sz w:val="21"/>
          <w:szCs w:val="21"/>
          <w:highlight w:val="none"/>
          <w:lang w:val="en-US" w:eastAsia="zh-CN"/>
        </w:rPr>
        <w:t>合同价含税总价</w:t>
      </w:r>
      <w:r>
        <w:rPr>
          <w:rFonts w:hint="eastAsia"/>
          <w:spacing w:val="-2"/>
          <w:sz w:val="21"/>
          <w:szCs w:val="21"/>
          <w:highlight w:val="none"/>
          <w:lang w:eastAsia="zh-CN"/>
        </w:rPr>
        <w:t>）</w:t>
      </w:r>
      <w:r>
        <w:rPr>
          <w:spacing w:val="-2"/>
          <w:sz w:val="21"/>
          <w:szCs w:val="21"/>
          <w:highlight w:val="none"/>
        </w:rPr>
        <w:t>=工程设计收费基准价×（1</w:t>
      </w:r>
      <w:r>
        <w:rPr>
          <w:rFonts w:hint="eastAsia"/>
          <w:spacing w:val="-2"/>
          <w:sz w:val="21"/>
          <w:szCs w:val="21"/>
          <w:highlight w:val="none"/>
          <w:lang w:val="en-US" w:eastAsia="zh-CN"/>
        </w:rPr>
        <w:t>-</w:t>
      </w:r>
      <w:r>
        <w:rPr>
          <w:spacing w:val="-2"/>
          <w:sz w:val="21"/>
          <w:szCs w:val="21"/>
          <w:highlight w:val="none"/>
        </w:rPr>
        <w:t>中标的下浮系数报价）【备注：本工程按《广西壮族自治区工程建设其他费用定额（桂建标[2018]37号)》、《工程勘察设计收费标准》（2002年修订版）标准，计算本工程设计收费基准价。其中工程专业调整系数取</w:t>
      </w:r>
      <w:r>
        <w:rPr>
          <w:rFonts w:hint="eastAsia"/>
          <w:spacing w:val="-2"/>
          <w:sz w:val="21"/>
          <w:szCs w:val="21"/>
          <w:highlight w:val="none"/>
          <w:lang w:val="en-US" w:eastAsia="zh-CN"/>
        </w:rPr>
        <w:t>1.0</w:t>
      </w:r>
      <w:r>
        <w:rPr>
          <w:spacing w:val="-2"/>
          <w:sz w:val="21"/>
          <w:szCs w:val="21"/>
          <w:highlight w:val="none"/>
        </w:rPr>
        <w:t>，工程复杂程度调整系数取</w:t>
      </w:r>
      <w:r>
        <w:rPr>
          <w:rFonts w:hint="eastAsia"/>
          <w:spacing w:val="-2"/>
          <w:sz w:val="21"/>
          <w:szCs w:val="21"/>
          <w:highlight w:val="none"/>
          <w:lang w:val="en-US" w:eastAsia="zh-CN"/>
        </w:rPr>
        <w:t>1.0</w:t>
      </w:r>
      <w:r>
        <w:rPr>
          <w:spacing w:val="-2"/>
          <w:sz w:val="21"/>
          <w:szCs w:val="21"/>
          <w:highlight w:val="none"/>
        </w:rPr>
        <w:t>，附加调整系数</w:t>
      </w:r>
      <w:r>
        <w:rPr>
          <w:rFonts w:hint="eastAsia"/>
          <w:spacing w:val="-2"/>
          <w:sz w:val="21"/>
          <w:szCs w:val="21"/>
          <w:highlight w:val="none"/>
          <w:lang w:val="en-US" w:eastAsia="zh-CN"/>
        </w:rPr>
        <w:t>1.0</w:t>
      </w:r>
      <w:r>
        <w:rPr>
          <w:spacing w:val="-2"/>
          <w:sz w:val="21"/>
          <w:szCs w:val="21"/>
          <w:highlight w:val="none"/>
        </w:rPr>
        <w:t>，施工图预算编制费按</w:t>
      </w:r>
      <w:r>
        <w:rPr>
          <w:rFonts w:hint="eastAsia"/>
          <w:spacing w:val="-2"/>
          <w:sz w:val="21"/>
          <w:szCs w:val="21"/>
          <w:highlight w:val="none"/>
          <w:lang w:val="en-US" w:eastAsia="zh-CN"/>
        </w:rPr>
        <w:t>5%</w:t>
      </w:r>
      <w:r>
        <w:rPr>
          <w:spacing w:val="-2"/>
          <w:sz w:val="21"/>
          <w:szCs w:val="21"/>
          <w:highlight w:val="none"/>
        </w:rPr>
        <w:t>收取，该费用已经包含方案设计、初步设计（投资概算）、施工图（含预算）、工程概算编制、规划技术审查费用的相关设 计服务及按上述合同条件、技术规范以中标下浮系数承包本项目招标范围内的设计工作的所有 内容费用及相关服务。</w:t>
      </w:r>
    </w:p>
    <w:p>
      <w:pPr>
        <w:pStyle w:val="11"/>
        <w:keepNext w:val="0"/>
        <w:keepLines w:val="0"/>
        <w:pageBreakBefore w:val="0"/>
        <w:widowControl/>
        <w:numPr>
          <w:ilvl w:val="0"/>
          <w:numId w:val="9"/>
        </w:numPr>
        <w:kinsoku/>
        <w:wordWrap/>
        <w:overflowPunct/>
        <w:topLinePunct w:val="0"/>
        <w:autoSpaceDE/>
        <w:autoSpaceDN/>
        <w:bidi w:val="0"/>
        <w:adjustRightInd/>
        <w:snapToGrid/>
        <w:spacing w:before="0" w:line="219" w:lineRule="auto"/>
        <w:ind w:left="0" w:right="0" w:firstLine="210" w:firstLineChars="100"/>
        <w:textAlignment w:val="auto"/>
        <w:rPr>
          <w:spacing w:val="-2"/>
          <w:sz w:val="21"/>
          <w:szCs w:val="21"/>
          <w:highlight w:val="none"/>
        </w:rPr>
      </w:pPr>
      <w:r>
        <w:rPr>
          <w:sz w:val="21"/>
          <w:szCs w:val="21"/>
          <w:highlight w:val="none"/>
        </w:rPr>
        <w:t>工程设计费结算时间为项目竣工验收合格后，工程设计费结算最终的计费基价以批复的</w:t>
      </w:r>
      <w:r>
        <w:rPr>
          <w:rFonts w:hint="eastAsia"/>
          <w:sz w:val="21"/>
          <w:szCs w:val="21"/>
          <w:highlight w:val="none"/>
          <w:lang w:val="en-US" w:eastAsia="zh-CN"/>
        </w:rPr>
        <w:t>工程可行性研究对应估算建安投资</w:t>
      </w:r>
      <w:r>
        <w:rPr>
          <w:sz w:val="21"/>
          <w:szCs w:val="21"/>
          <w:highlight w:val="none"/>
        </w:rPr>
        <w:t>根据上述收费标准确定，最终结算价按国家及南宁市有关规定执行审定后为准。</w:t>
      </w:r>
    </w:p>
    <w:p>
      <w:pPr>
        <w:numPr>
          <w:ilvl w:val="0"/>
          <w:numId w:val="9"/>
        </w:numPr>
        <w:spacing w:before="0" w:after="0" w:afterAutospacing="0" w:line="340" w:lineRule="exact"/>
        <w:ind w:left="0" w:leftChars="0" w:right="0" w:firstLine="206" w:firstLineChars="100"/>
        <w:rPr>
          <w:rFonts w:hint="eastAsia" w:ascii="Times New Roman" w:hAnsi="Times New Roman" w:eastAsia="宋体" w:cs="Times New Roman"/>
          <w:spacing w:val="-2"/>
          <w:sz w:val="21"/>
          <w:szCs w:val="21"/>
          <w:highlight w:val="none"/>
          <w:lang w:val="en-US" w:eastAsia="zh-CN" w:bidi="ar-SA"/>
        </w:rPr>
      </w:pPr>
      <w:r>
        <w:rPr>
          <w:rFonts w:ascii="Times New Roman" w:hAnsi="Times New Roman" w:eastAsia="宋体" w:cs="Times New Roman"/>
          <w:spacing w:val="-2"/>
          <w:sz w:val="21"/>
          <w:szCs w:val="21"/>
          <w:highlight w:val="none"/>
          <w:lang w:val="en-US" w:eastAsia="zh-CN" w:bidi="ar-SA"/>
        </w:rPr>
        <w:t>本项目的有效报价范围为：</w:t>
      </w:r>
      <w:r>
        <w:rPr>
          <w:rFonts w:hint="eastAsia" w:cs="Times New Roman"/>
          <w:spacing w:val="-2"/>
          <w:sz w:val="21"/>
          <w:szCs w:val="21"/>
          <w:highlight w:val="none"/>
          <w:lang w:val="en-US" w:eastAsia="zh-CN" w:bidi="ar-SA"/>
        </w:rPr>
        <w:t>25</w:t>
      </w:r>
      <w:r>
        <w:rPr>
          <w:rFonts w:hint="eastAsia" w:ascii="Times New Roman" w:hAnsi="Times New Roman" w:eastAsia="宋体" w:cs="Times New Roman"/>
          <w:spacing w:val="-2"/>
          <w:sz w:val="21"/>
          <w:szCs w:val="21"/>
          <w:highlight w:val="none"/>
          <w:lang w:val="en-US" w:eastAsia="zh-CN" w:bidi="ar-SA"/>
        </w:rPr>
        <w:t>%≤下浮系数≤100%</w:t>
      </w:r>
    </w:p>
    <w:p>
      <w:pPr>
        <w:numPr>
          <w:ilvl w:val="0"/>
          <w:numId w:val="9"/>
        </w:numPr>
        <w:spacing w:before="0" w:after="0" w:afterAutospacing="0" w:line="340" w:lineRule="exact"/>
        <w:ind w:left="0" w:leftChars="0" w:right="0" w:firstLine="210" w:firstLineChars="100"/>
        <w:rPr>
          <w:rFonts w:ascii="宋体" w:hAnsi="宋体"/>
          <w:color w:val="000000" w:themeColor="text1"/>
          <w:highlight w:val="none"/>
          <w14:textFill>
            <w14:solidFill>
              <w14:schemeClr w14:val="tx1"/>
            </w14:solidFill>
          </w14:textFill>
        </w:rPr>
      </w:pPr>
      <w:r>
        <w:rPr>
          <w:rFonts w:hint="eastAsia" w:ascii="宋体" w:hAnsi="宋体"/>
          <w:bCs/>
          <w:color w:val="000000" w:themeColor="text1"/>
          <w:highlight w:val="none"/>
          <w14:textFill>
            <w14:solidFill>
              <w14:schemeClr w14:val="tx1"/>
            </w14:solidFill>
          </w14:textFill>
        </w:rPr>
        <w:t>比选申请人在填报比选报价时，应充分考虑合同实施过程中因人力成本的增加、材料的价格上涨、国家宏观调控、经济环境变化等因素所产生费用的增加。比选文件中要求列入的费用（含配置、功能）。</w:t>
      </w:r>
    </w:p>
    <w:p>
      <w:pPr>
        <w:spacing w:before="0" w:after="0" w:afterAutospacing="0"/>
        <w:ind w:left="0" w:right="0" w:firstLine="420" w:firstLineChars="200"/>
        <w:rPr>
          <w:rFonts w:hAnsi="宋体"/>
          <w:color w:val="000000" w:themeColor="text1"/>
          <w:highlight w:val="none"/>
          <w14:textFill>
            <w14:solidFill>
              <w14:schemeClr w14:val="tx1"/>
            </w14:solidFill>
          </w14:textFill>
        </w:rPr>
      </w:pPr>
    </w:p>
    <w:p>
      <w:pPr>
        <w:snapToGrid w:val="0"/>
        <w:spacing w:before="0" w:after="0" w:afterAutospacing="0" w:line="400" w:lineRule="exact"/>
        <w:ind w:left="0" w:right="0" w:firstLine="426"/>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w:t>
      </w:r>
      <w:r>
        <w:rPr>
          <w:rFonts w:ascii="宋体" w:hAnsi="宋体"/>
          <w:color w:val="000000" w:themeColor="text1"/>
          <w:highlight w:val="none"/>
          <w14:textFill>
            <w14:solidFill>
              <w14:schemeClr w14:val="tx1"/>
            </w14:solidFill>
          </w14:textFill>
        </w:rPr>
        <w:t>人</w:t>
      </w:r>
      <w:r>
        <w:rPr>
          <w:rFonts w:hint="eastAsia" w:ascii="宋体" w:hAnsi="宋体"/>
          <w:color w:val="000000" w:themeColor="text1"/>
          <w:highlight w:val="none"/>
          <w14:textFill>
            <w14:solidFill>
              <w14:schemeClr w14:val="tx1"/>
            </w14:solidFill>
          </w14:textFill>
        </w:rPr>
        <w:t>：</w:t>
      </w:r>
      <w:r>
        <w:rPr>
          <w:rFonts w:ascii="宋体" w:hAnsi="宋体"/>
          <w:color w:val="000000" w:themeColor="text1"/>
          <w:highlight w:val="none"/>
          <w:u w:val="single"/>
          <w14:textFill>
            <w14:solidFill>
              <w14:schemeClr w14:val="tx1"/>
            </w14:solidFill>
          </w14:textFill>
        </w:rPr>
        <w:t xml:space="preserve"> </w:t>
      </w:r>
      <w:r>
        <w:rPr>
          <w:rFonts w:hint="eastAsia" w:ascii="宋体" w:hAnsi="宋体" w:cs="Arial"/>
          <w:color w:val="000000" w:themeColor="text1"/>
          <w:highlight w:val="none"/>
          <w:u w:val="single"/>
          <w14:textFill>
            <w14:solidFill>
              <w14:schemeClr w14:val="tx1"/>
            </w14:solidFill>
          </w14:textFill>
        </w:rPr>
        <w:t>（填写）</w:t>
      </w:r>
      <w:r>
        <w:rPr>
          <w:rFonts w:ascii="宋体" w:hAnsi="宋体"/>
          <w:color w:val="000000" w:themeColor="text1"/>
          <w:highlight w:val="none"/>
          <w:u w:val="single"/>
          <w14:textFill>
            <w14:solidFill>
              <w14:schemeClr w14:val="tx1"/>
            </w14:solidFill>
          </w14:textFill>
        </w:rPr>
        <w:t xml:space="preserve"> (</w:t>
      </w:r>
      <w:r>
        <w:rPr>
          <w:rFonts w:hint="eastAsia" w:ascii="宋体" w:hAnsi="宋体"/>
          <w:color w:val="000000" w:themeColor="text1"/>
          <w:highlight w:val="none"/>
          <w:u w:val="single"/>
          <w14:textFill>
            <w14:solidFill>
              <w14:schemeClr w14:val="tx1"/>
            </w14:solidFill>
          </w14:textFill>
        </w:rPr>
        <w:t>盖单位公章</w:t>
      </w:r>
      <w:r>
        <w:rPr>
          <w:rFonts w:ascii="宋体" w:hAnsi="宋体"/>
          <w:color w:val="000000" w:themeColor="text1"/>
          <w:highlight w:val="none"/>
          <w:u w:val="single"/>
          <w14:textFill>
            <w14:solidFill>
              <w14:schemeClr w14:val="tx1"/>
            </w14:solidFill>
          </w14:textFill>
        </w:rPr>
        <w:t>)</w:t>
      </w:r>
    </w:p>
    <w:p>
      <w:pPr>
        <w:snapToGrid w:val="0"/>
        <w:spacing w:before="0" w:after="0" w:afterAutospacing="0" w:line="400" w:lineRule="exact"/>
        <w:ind w:left="0" w:right="0" w:firstLine="426"/>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法定代表人（或委托代理人）：</w:t>
      </w:r>
      <w:r>
        <w:rPr>
          <w:rFonts w:ascii="宋体" w:hAnsi="宋体"/>
          <w:color w:val="000000" w:themeColor="text1"/>
          <w:highlight w:val="none"/>
          <w:u w:val="single"/>
          <w14:textFill>
            <w14:solidFill>
              <w14:schemeClr w14:val="tx1"/>
            </w14:solidFill>
          </w14:textFill>
        </w:rPr>
        <w:t>(签字</w:t>
      </w:r>
      <w:r>
        <w:rPr>
          <w:rFonts w:hint="eastAsia" w:ascii="宋体" w:hAnsi="宋体"/>
          <w:color w:val="000000" w:themeColor="text1"/>
          <w:highlight w:val="none"/>
          <w:u w:val="single"/>
          <w14:textFill>
            <w14:solidFill>
              <w14:schemeClr w14:val="tx1"/>
            </w14:solidFill>
          </w14:textFill>
        </w:rPr>
        <w:t>或盖章</w:t>
      </w:r>
      <w:r>
        <w:rPr>
          <w:rFonts w:ascii="宋体" w:hAnsi="宋体"/>
          <w:color w:val="000000" w:themeColor="text1"/>
          <w:highlight w:val="none"/>
          <w:u w:val="single"/>
          <w14:textFill>
            <w14:solidFill>
              <w14:schemeClr w14:val="tx1"/>
            </w14:solidFill>
          </w14:textFill>
        </w:rPr>
        <w:t>)</w:t>
      </w:r>
    </w:p>
    <w:p>
      <w:pPr>
        <w:pStyle w:val="32"/>
        <w:ind w:firstLine="482"/>
        <w:rPr>
          <w:rFonts w:ascii="宋体" w:hAnsi="宋体"/>
          <w:b/>
          <w:color w:val="000000" w:themeColor="text1"/>
          <w:szCs w:val="24"/>
          <w:highlight w:val="none"/>
          <w14:textFill>
            <w14:solidFill>
              <w14:schemeClr w14:val="tx1"/>
            </w14:solidFill>
          </w14:textFill>
        </w:rPr>
      </w:pPr>
    </w:p>
    <w:p>
      <w:pPr>
        <w:pStyle w:val="33"/>
        <w:ind w:left="0" w:leftChars="0" w:firstLine="0" w:firstLineChars="0"/>
        <w:sectPr>
          <w:pgSz w:w="16838" w:h="11905" w:orient="landscape"/>
          <w:pgMar w:top="1418" w:right="1418" w:bottom="1418" w:left="1304" w:header="454" w:footer="567" w:gutter="0"/>
          <w:cols w:space="720" w:num="1"/>
          <w:docGrid w:linePitch="312" w:charSpace="0"/>
        </w:sectPr>
      </w:pPr>
    </w:p>
    <w:p>
      <w:pPr>
        <w:pStyle w:val="32"/>
        <w:ind w:left="0" w:leftChars="0" w:firstLine="0" w:firstLineChars="0"/>
        <w:rPr>
          <w:rFonts w:ascii="宋体" w:hAnsi="宋体"/>
          <w:b/>
          <w:color w:val="000000" w:themeColor="text1"/>
          <w:szCs w:val="24"/>
          <w:highlight w:val="none"/>
          <w14:textFill>
            <w14:solidFill>
              <w14:schemeClr w14:val="tx1"/>
            </w14:solidFill>
          </w14:textFill>
        </w:rPr>
      </w:pPr>
    </w:p>
    <w:p>
      <w:pPr>
        <w:pStyle w:val="3"/>
        <w:tabs>
          <w:tab w:val="left" w:pos="567"/>
          <w:tab w:val="left" w:pos="720"/>
        </w:tabs>
        <w:snapToGrid w:val="0"/>
        <w:spacing w:after="0" w:line="360" w:lineRule="auto"/>
        <w:ind w:right="0"/>
        <w:jc w:val="left"/>
        <w:rPr>
          <w:rFonts w:ascii="宋体" w:hAnsi="宋体" w:eastAsia="宋体" w:cs="Arial"/>
          <w:color w:val="000000" w:themeColor="text1"/>
          <w:highlight w:val="none"/>
          <w14:textFill>
            <w14:solidFill>
              <w14:schemeClr w14:val="tx1"/>
            </w14:solidFill>
          </w14:textFill>
        </w:rPr>
      </w:pPr>
      <w:bookmarkStart w:id="1337" w:name="_Toc58124833"/>
      <w:bookmarkStart w:id="1338" w:name="_Toc61680485"/>
      <w:bookmarkStart w:id="1339" w:name="_Toc68859063"/>
      <w:bookmarkStart w:id="1340" w:name="_Toc110413986"/>
      <w:bookmarkStart w:id="1341" w:name="_Toc15419"/>
      <w:bookmarkStart w:id="1342" w:name="_Toc6270"/>
      <w:bookmarkStart w:id="1343" w:name="_Toc12983553"/>
      <w:bookmarkStart w:id="1344" w:name="_Toc30580"/>
      <w:bookmarkStart w:id="1345" w:name="_Toc25750681"/>
      <w:bookmarkStart w:id="1346" w:name="_Toc8713"/>
      <w:bookmarkStart w:id="1347" w:name="_Toc2257"/>
      <w:bookmarkStart w:id="1348" w:name="_Toc375564356"/>
      <w:bookmarkStart w:id="1349" w:name="_Toc10260"/>
      <w:bookmarkStart w:id="1350" w:name="_Toc12984813"/>
      <w:bookmarkStart w:id="1351" w:name="_Toc2585"/>
      <w:bookmarkStart w:id="1352" w:name="_Toc17112"/>
      <w:bookmarkStart w:id="1353" w:name="_Toc241920153"/>
      <w:bookmarkStart w:id="1354" w:name="_Toc14859"/>
      <w:bookmarkStart w:id="1355" w:name="_Toc21109"/>
      <w:bookmarkStart w:id="1356" w:name="_Toc4976"/>
      <w:bookmarkStart w:id="1357" w:name="_Toc11065"/>
      <w:bookmarkStart w:id="1358" w:name="_Toc29702"/>
      <w:bookmarkStart w:id="1359" w:name="_Toc114134669"/>
      <w:bookmarkStart w:id="1360" w:name="_Toc20864"/>
      <w:bookmarkStart w:id="1361" w:name="_Toc14503"/>
      <w:bookmarkStart w:id="1362" w:name="_Toc20737"/>
      <w:bookmarkStart w:id="1363" w:name="_Toc25869"/>
      <w:bookmarkStart w:id="1364" w:name="_Toc6833"/>
      <w:bookmarkStart w:id="1365" w:name="_Toc32224"/>
      <w:bookmarkStart w:id="1366" w:name="_Toc492478809"/>
      <w:bookmarkStart w:id="1367" w:name="_Toc27888"/>
      <w:bookmarkStart w:id="1368" w:name="_Toc414290527"/>
      <w:r>
        <w:rPr>
          <w:rFonts w:ascii="宋体" w:hAnsi="宋体" w:eastAsia="宋体"/>
          <w:color w:val="000000" w:themeColor="text1"/>
          <w:sz w:val="21"/>
          <w:szCs w:val="21"/>
          <w:highlight w:val="none"/>
          <w14:textFill>
            <w14:solidFill>
              <w14:schemeClr w14:val="tx1"/>
            </w14:solidFill>
          </w14:textFill>
        </w:rPr>
        <w:t>B2比选申请</w:t>
      </w:r>
      <w:bookmarkEnd w:id="1337"/>
      <w:bookmarkEnd w:id="1338"/>
      <w:bookmarkEnd w:id="1339"/>
      <w:bookmarkEnd w:id="1340"/>
      <w:r>
        <w:rPr>
          <w:rFonts w:ascii="宋体" w:hAnsi="宋体" w:eastAsia="宋体"/>
          <w:color w:val="000000" w:themeColor="text1"/>
          <w:sz w:val="21"/>
          <w:szCs w:val="21"/>
          <w:highlight w:val="none"/>
          <w14:textFill>
            <w14:solidFill>
              <w14:schemeClr w14:val="tx1"/>
            </w14:solidFill>
          </w14:textFill>
        </w:rPr>
        <w:t>函格式</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pPr>
        <w:spacing w:before="0" w:after="0" w:afterAutospacing="0"/>
        <w:ind w:right="0" w:firstLine="0"/>
        <w:jc w:val="center"/>
        <w:rPr>
          <w:rFonts w:ascii="宋体" w:hAnsi="宋体"/>
          <w:b/>
          <w:color w:val="000000" w:themeColor="text1"/>
          <w:sz w:val="32"/>
          <w:szCs w:val="32"/>
          <w:highlight w:val="none"/>
          <w14:textFill>
            <w14:solidFill>
              <w14:schemeClr w14:val="tx1"/>
            </w14:solidFill>
          </w14:textFill>
        </w:rPr>
      </w:pPr>
      <w:r>
        <w:rPr>
          <w:rFonts w:ascii="宋体" w:hAnsi="宋体"/>
          <w:b/>
          <w:color w:val="000000" w:themeColor="text1"/>
          <w:sz w:val="32"/>
          <w:szCs w:val="32"/>
          <w:highlight w:val="none"/>
          <w14:textFill>
            <w14:solidFill>
              <w14:schemeClr w14:val="tx1"/>
            </w14:solidFill>
          </w14:textFill>
        </w:rPr>
        <w:t>比选申请函</w:t>
      </w:r>
    </w:p>
    <w:p>
      <w:pPr>
        <w:spacing w:before="0" w:after="0" w:afterAutospacing="0"/>
        <w:ind w:left="0" w:right="0" w:firstLine="0"/>
        <w:rPr>
          <w:rFonts w:hint="eastAsia" w:ascii="宋体" w:hAnsi="宋体" w:eastAsia="宋体"/>
          <w:color w:val="000000" w:themeColor="text1"/>
          <w:highlight w:val="none"/>
          <w:lang w:eastAsia="zh-CN"/>
          <w14:textFill>
            <w14:solidFill>
              <w14:schemeClr w14:val="tx1"/>
            </w14:solidFill>
          </w14:textFill>
        </w:rPr>
      </w:pPr>
      <w:r>
        <w:rPr>
          <w:rFonts w:ascii="宋体" w:hAnsi="宋体"/>
          <w:color w:val="000000" w:themeColor="text1"/>
          <w:highlight w:val="none"/>
          <w14:textFill>
            <w14:solidFill>
              <w14:schemeClr w14:val="tx1"/>
            </w14:solidFill>
          </w14:textFill>
        </w:rPr>
        <w:t>致：</w:t>
      </w:r>
      <w:r>
        <w:rPr>
          <w:rFonts w:hint="eastAsia" w:ascii="宋体" w:hAnsi="宋体"/>
          <w:color w:val="000000" w:themeColor="text1"/>
          <w:highlight w:val="none"/>
          <w:lang w:eastAsia="zh-CN"/>
          <w14:textFill>
            <w14:solidFill>
              <w14:schemeClr w14:val="tx1"/>
            </w14:solidFill>
          </w14:textFill>
        </w:rPr>
        <w:t>南宁兴邕城市更新有限责任公司</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根据贵方为</w:t>
      </w:r>
      <w:r>
        <w:rPr>
          <w:rFonts w:hint="eastAsia" w:ascii="宋体" w:hAnsi="宋体"/>
          <w:color w:val="000000" w:themeColor="text1"/>
          <w:highlight w:val="none"/>
          <w14:textFill>
            <w14:solidFill>
              <w14:schemeClr w14:val="tx1"/>
            </w14:solidFill>
          </w14:textFill>
        </w:rPr>
        <w:t>采购项目</w:t>
      </w:r>
      <w:r>
        <w:rPr>
          <w:rFonts w:ascii="宋体" w:hAnsi="宋体"/>
          <w:color w:val="000000" w:themeColor="text1"/>
          <w:highlight w:val="none"/>
          <w14:textFill>
            <w14:solidFill>
              <w14:schemeClr w14:val="tx1"/>
            </w14:solidFill>
          </w14:textFill>
        </w:rPr>
        <w:t>比选申请邀请，签字人</w:t>
      </w:r>
      <w:r>
        <w:rPr>
          <w:rFonts w:ascii="宋体" w:hAnsi="宋体"/>
          <w:color w:val="000000" w:themeColor="text1"/>
          <w:highlight w:val="none"/>
          <w:u w:val="single"/>
          <w14:textFill>
            <w14:solidFill>
              <w14:schemeClr w14:val="tx1"/>
            </w14:solidFill>
          </w14:textFill>
        </w:rPr>
        <w:t>(全名、职务)</w:t>
      </w:r>
      <w:r>
        <w:rPr>
          <w:rFonts w:ascii="宋体" w:hAnsi="宋体"/>
          <w:color w:val="000000" w:themeColor="text1"/>
          <w:highlight w:val="none"/>
          <w14:textFill>
            <w14:solidFill>
              <w14:schemeClr w14:val="tx1"/>
            </w14:solidFill>
          </w14:textFill>
        </w:rPr>
        <w:t>经正式授权并代表比选申请人</w:t>
      </w:r>
      <w:r>
        <w:rPr>
          <w:rFonts w:ascii="宋体" w:hAnsi="宋体"/>
          <w:color w:val="000000" w:themeColor="text1"/>
          <w:highlight w:val="none"/>
          <w:u w:val="single"/>
          <w14:textFill>
            <w14:solidFill>
              <w14:schemeClr w14:val="tx1"/>
            </w14:solidFill>
          </w14:textFill>
        </w:rPr>
        <w:t>（比选申请人名称、地址）</w:t>
      </w:r>
      <w:r>
        <w:rPr>
          <w:rFonts w:ascii="宋体" w:hAnsi="宋体"/>
          <w:color w:val="000000" w:themeColor="text1"/>
          <w:highlight w:val="none"/>
          <w14:textFill>
            <w14:solidFill>
              <w14:schemeClr w14:val="tx1"/>
            </w14:solidFill>
          </w14:textFill>
        </w:rPr>
        <w:t>提交</w:t>
      </w:r>
      <w:r>
        <w:rPr>
          <w:rFonts w:hint="eastAsia" w:ascii="宋体" w:hAnsi="宋体"/>
          <w:color w:val="000000" w:themeColor="text1"/>
          <w:highlight w:val="none"/>
          <w14:textFill>
            <w14:solidFill>
              <w14:schemeClr w14:val="tx1"/>
            </w14:solidFill>
          </w14:textFill>
        </w:rPr>
        <w:t>比选申请文件</w:t>
      </w:r>
      <w:r>
        <w:rPr>
          <w:rFonts w:ascii="宋体" w:hAnsi="宋体"/>
          <w:color w:val="000000" w:themeColor="text1"/>
          <w:highlight w:val="none"/>
          <w14:textFill>
            <w14:solidFill>
              <w14:schemeClr w14:val="tx1"/>
            </w14:solidFill>
          </w14:textFill>
        </w:rPr>
        <w:t>正本</w:t>
      </w:r>
      <w:r>
        <w:rPr>
          <w:rFonts w:ascii="宋体" w:hAnsi="宋体"/>
          <w:color w:val="000000" w:themeColor="text1"/>
          <w:highlight w:val="none"/>
          <w:u w:val="single"/>
          <w14:textFill>
            <w14:solidFill>
              <w14:schemeClr w14:val="tx1"/>
            </w14:solidFill>
          </w14:textFill>
        </w:rPr>
        <w:t>1</w:t>
      </w:r>
      <w:r>
        <w:rPr>
          <w:rFonts w:ascii="宋体" w:hAnsi="宋体"/>
          <w:color w:val="000000" w:themeColor="text1"/>
          <w:highlight w:val="none"/>
          <w14:textFill>
            <w14:solidFill>
              <w14:schemeClr w14:val="tx1"/>
            </w14:solidFill>
          </w14:textFill>
        </w:rPr>
        <w:t>份、副本</w:t>
      </w:r>
      <w:r>
        <w:rPr>
          <w:rFonts w:hint="eastAsia" w:ascii="宋体" w:hAnsi="宋体"/>
          <w:color w:val="000000" w:themeColor="text1"/>
          <w:highlight w:val="none"/>
          <w:u w:val="single"/>
          <w:lang w:val="en-US" w:eastAsia="zh-CN"/>
          <w14:textFill>
            <w14:solidFill>
              <w14:schemeClr w14:val="tx1"/>
            </w14:solidFill>
          </w14:textFill>
        </w:rPr>
        <w:t>4</w:t>
      </w:r>
      <w:r>
        <w:rPr>
          <w:rFonts w:ascii="宋体" w:hAnsi="宋体"/>
          <w:color w:val="000000" w:themeColor="text1"/>
          <w:highlight w:val="none"/>
          <w14:textFill>
            <w14:solidFill>
              <w14:schemeClr w14:val="tx1"/>
            </w14:solidFill>
          </w14:textFill>
        </w:rPr>
        <w:t>份及电子文件</w:t>
      </w:r>
      <w:r>
        <w:rPr>
          <w:rFonts w:ascii="宋体" w:hAnsi="宋体"/>
          <w:color w:val="000000" w:themeColor="text1"/>
          <w:highlight w:val="none"/>
          <w:u w:val="single"/>
          <w14:textFill>
            <w14:solidFill>
              <w14:schemeClr w14:val="tx1"/>
            </w14:solidFill>
          </w14:textFill>
        </w:rPr>
        <w:t xml:space="preserve"> </w:t>
      </w:r>
      <w:r>
        <w:rPr>
          <w:rFonts w:hint="eastAsia" w:ascii="宋体" w:hAnsi="宋体"/>
          <w:color w:val="000000" w:themeColor="text1"/>
          <w:highlight w:val="none"/>
          <w:u w:val="single"/>
          <w:lang w:val="en-US" w:eastAsia="zh-CN"/>
          <w14:textFill>
            <w14:solidFill>
              <w14:schemeClr w14:val="tx1"/>
            </w14:solidFill>
          </w14:textFill>
        </w:rPr>
        <w:t>1</w:t>
      </w:r>
      <w:r>
        <w:rPr>
          <w:rFonts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份（U盘）。</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据此，签字人宣布同意如下：</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bookmarkStart w:id="1369" w:name="_Toc375564357"/>
      <w:r>
        <w:rPr>
          <w:rFonts w:ascii="宋体" w:hAnsi="宋体"/>
          <w:color w:val="000000" w:themeColor="text1"/>
          <w:highlight w:val="none"/>
          <w14:textFill>
            <w14:solidFill>
              <w14:schemeClr w14:val="tx1"/>
            </w14:solidFill>
          </w14:textFill>
        </w:rPr>
        <w:t>1. 按比选文件要求规定的应提交和交付的服务并履行全部合同义务的比选申请</w:t>
      </w:r>
      <w:r>
        <w:rPr>
          <w:rFonts w:hint="eastAsia" w:ascii="宋体" w:hAnsi="宋体"/>
          <w:color w:val="000000" w:themeColor="text1"/>
          <w:highlight w:val="none"/>
          <w14:textFill>
            <w14:solidFill>
              <w14:schemeClr w14:val="tx1"/>
            </w14:solidFill>
          </w14:textFill>
        </w:rPr>
        <w:t>，</w:t>
      </w:r>
      <w:r>
        <w:rPr>
          <w:rFonts w:ascii="宋体" w:hAnsi="宋体"/>
          <w:color w:val="000000" w:themeColor="text1"/>
          <w:highlight w:val="none"/>
          <w14:textFill>
            <w14:solidFill>
              <w14:schemeClr w14:val="tx1"/>
            </w14:solidFill>
          </w14:textFill>
        </w:rPr>
        <w:t>总价如本比选申请文件</w:t>
      </w:r>
      <w:r>
        <w:rPr>
          <w:rFonts w:hint="eastAsia" w:ascii="宋体" w:hAnsi="宋体"/>
          <w:color w:val="000000" w:themeColor="text1"/>
          <w:highlight w:val="none"/>
          <w14:textFill>
            <w14:solidFill>
              <w14:schemeClr w14:val="tx1"/>
            </w14:solidFill>
          </w14:textFill>
        </w:rPr>
        <w:t>价格文件</w:t>
      </w:r>
      <w:r>
        <w:rPr>
          <w:rFonts w:ascii="宋体" w:hAnsi="宋体"/>
          <w:color w:val="000000" w:themeColor="text1"/>
          <w:highlight w:val="none"/>
          <w14:textFill>
            <w14:solidFill>
              <w14:schemeClr w14:val="tx1"/>
            </w14:solidFill>
          </w14:textFill>
        </w:rPr>
        <w:t>“比选申请报价一览表”所述。</w:t>
      </w:r>
      <w:bookmarkEnd w:id="1369"/>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w:t>
      </w:r>
      <w:r>
        <w:rPr>
          <w:rFonts w:ascii="宋体" w:hAnsi="宋体"/>
          <w:color w:val="000000" w:themeColor="text1"/>
          <w:highlight w:val="none"/>
          <w14:textFill>
            <w14:solidFill>
              <w14:schemeClr w14:val="tx1"/>
            </w14:solidFill>
          </w14:textFill>
        </w:rPr>
        <w:t>.按比选文件的规定履行合同责任和义务。</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w:t>
      </w:r>
      <w:r>
        <w:rPr>
          <w:rFonts w:ascii="宋体" w:hAnsi="宋体"/>
          <w:color w:val="000000" w:themeColor="text1"/>
          <w:highlight w:val="none"/>
          <w14:textFill>
            <w14:solidFill>
              <w14:schemeClr w14:val="tx1"/>
            </w14:solidFill>
          </w14:textFill>
        </w:rPr>
        <w:t>.已详细审查全部比选文件，包括修改文件（如有的话）以及全部接口资料和有关附件。我们完全理解并同意放弃对这方面有不明及误解的权利。</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4</w:t>
      </w:r>
      <w:r>
        <w:rPr>
          <w:rFonts w:ascii="宋体" w:hAnsi="宋体"/>
          <w:color w:val="000000" w:themeColor="text1"/>
          <w:highlight w:val="none"/>
          <w14:textFill>
            <w14:solidFill>
              <w14:schemeClr w14:val="tx1"/>
            </w14:solidFill>
          </w14:textFill>
        </w:rPr>
        <w:t>.本比选申请有效期为比选申请截止日起</w:t>
      </w:r>
      <w:r>
        <w:rPr>
          <w:rFonts w:hint="eastAsia" w:ascii="宋体" w:hAnsi="宋体"/>
          <w:b/>
          <w:color w:val="000000" w:themeColor="text1"/>
          <w:highlight w:val="none"/>
          <w:u w:val="single"/>
          <w14:textFill>
            <w14:solidFill>
              <w14:schemeClr w14:val="tx1"/>
            </w14:solidFill>
          </w14:textFill>
        </w:rPr>
        <w:t>（备注：与前附表一致）</w:t>
      </w:r>
      <w:r>
        <w:rPr>
          <w:rFonts w:ascii="宋体" w:hAnsi="宋体"/>
          <w:color w:val="000000" w:themeColor="text1"/>
          <w:highlight w:val="none"/>
          <w14:textFill>
            <w14:solidFill>
              <w14:schemeClr w14:val="tx1"/>
            </w14:solidFill>
          </w14:textFill>
        </w:rPr>
        <w:t>日历天内。</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5</w:t>
      </w:r>
      <w:r>
        <w:rPr>
          <w:rFonts w:ascii="宋体" w:hAnsi="宋体"/>
          <w:color w:val="000000" w:themeColor="text1"/>
          <w:highlight w:val="none"/>
          <w14:textFill>
            <w14:solidFill>
              <w14:schemeClr w14:val="tx1"/>
            </w14:solidFill>
          </w14:textFill>
        </w:rPr>
        <w:t>.如果在规定的</w:t>
      </w:r>
      <w:r>
        <w:rPr>
          <w:rFonts w:hint="eastAsia" w:ascii="宋体" w:hAnsi="宋体"/>
          <w:color w:val="000000" w:themeColor="text1"/>
          <w:highlight w:val="none"/>
          <w14:textFill>
            <w14:solidFill>
              <w14:schemeClr w14:val="tx1"/>
            </w14:solidFill>
          </w14:textFill>
        </w:rPr>
        <w:t>比选文件递交</w:t>
      </w:r>
      <w:r>
        <w:rPr>
          <w:rFonts w:ascii="宋体" w:hAnsi="宋体"/>
          <w:color w:val="000000" w:themeColor="text1"/>
          <w:highlight w:val="none"/>
          <w14:textFill>
            <w14:solidFill>
              <w14:schemeClr w14:val="tx1"/>
            </w14:solidFill>
          </w14:textFill>
        </w:rPr>
        <w:t>时间后，</w:t>
      </w:r>
      <w:r>
        <w:rPr>
          <w:rFonts w:hint="eastAsia" w:ascii="宋体" w:hAnsi="宋体"/>
          <w:color w:val="000000" w:themeColor="text1"/>
          <w:highlight w:val="none"/>
          <w14:textFill>
            <w14:solidFill>
              <w14:schemeClr w14:val="tx1"/>
            </w14:solidFill>
          </w14:textFill>
        </w:rPr>
        <w:t>我公司</w:t>
      </w:r>
      <w:r>
        <w:rPr>
          <w:rFonts w:ascii="宋体" w:hAnsi="宋体"/>
          <w:color w:val="000000" w:themeColor="text1"/>
          <w:highlight w:val="none"/>
          <w14:textFill>
            <w14:solidFill>
              <w14:schemeClr w14:val="tx1"/>
            </w14:solidFill>
          </w14:textFill>
        </w:rPr>
        <w:t>在比选申请有效期内撤销比选申请，</w:t>
      </w:r>
      <w:r>
        <w:rPr>
          <w:rFonts w:hint="eastAsia" w:ascii="宋体" w:hAnsi="宋体"/>
          <w:color w:val="000000" w:themeColor="text1"/>
          <w:highlight w:val="none"/>
          <w14:textFill>
            <w14:solidFill>
              <w14:schemeClr w14:val="tx1"/>
            </w14:solidFill>
          </w14:textFill>
        </w:rPr>
        <w:t>所造成的损失我公司承担</w:t>
      </w:r>
      <w:r>
        <w:rPr>
          <w:rFonts w:ascii="宋体" w:hAnsi="宋体"/>
          <w:color w:val="000000" w:themeColor="text1"/>
          <w:highlight w:val="none"/>
          <w14:textFill>
            <w14:solidFill>
              <w14:schemeClr w14:val="tx1"/>
            </w14:solidFill>
          </w14:textFill>
        </w:rPr>
        <w:t>。</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6</w:t>
      </w:r>
      <w:r>
        <w:rPr>
          <w:rFonts w:ascii="宋体" w:hAnsi="宋体"/>
          <w:color w:val="000000" w:themeColor="text1"/>
          <w:highlight w:val="none"/>
          <w14:textFill>
            <w14:solidFill>
              <w14:schemeClr w14:val="tx1"/>
            </w14:solidFill>
          </w14:textFill>
        </w:rPr>
        <w:t>.同意按照贵方的要求提供与本比选申请有关的一切数据或资料，完全理解贵方不一定要接受最低价的比选申请或收到的任何比选申请。</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7</w:t>
      </w:r>
      <w:r>
        <w:rPr>
          <w:rFonts w:ascii="宋体" w:hAnsi="宋体"/>
          <w:color w:val="000000" w:themeColor="text1"/>
          <w:highlight w:val="none"/>
          <w14:textFill>
            <w14:solidFill>
              <w14:schemeClr w14:val="tx1"/>
            </w14:solidFill>
          </w14:textFill>
        </w:rPr>
        <w:t xml:space="preserve">. </w:t>
      </w:r>
      <w:r>
        <w:rPr>
          <w:rFonts w:hint="eastAsia" w:ascii="宋体" w:hAnsi="宋体"/>
          <w:b/>
          <w:color w:val="000000" w:themeColor="text1"/>
          <w:highlight w:val="none"/>
          <w14:textFill>
            <w14:solidFill>
              <w14:schemeClr w14:val="tx1"/>
            </w14:solidFill>
          </w14:textFill>
        </w:rPr>
        <w:t>本项目采用不含税报价进行商务评审，含税报价为合同暂定价，合同的最终税金在结算阶段，按实际产生的税金进行核算，但合同不含税价格不因国家税率调整而调整。</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8</w:t>
      </w:r>
      <w:r>
        <w:rPr>
          <w:rFonts w:ascii="宋体" w:hAnsi="宋体"/>
          <w:color w:val="000000" w:themeColor="text1"/>
          <w:highlight w:val="none"/>
          <w14:textFill>
            <w14:solidFill>
              <w14:schemeClr w14:val="tx1"/>
            </w14:solidFill>
          </w14:textFill>
        </w:rPr>
        <w:t>.与本比选申请有关的一切正式往来通讯请发往：</w:t>
      </w:r>
      <w:r>
        <w:rPr>
          <w:rFonts w:ascii="宋体" w:hAnsi="宋体"/>
          <w:color w:val="000000" w:themeColor="text1"/>
          <w:highlight w:val="none"/>
          <w14:textFill>
            <w14:solidFill>
              <w14:schemeClr w14:val="tx1"/>
            </w14:solidFill>
          </w14:textFill>
        </w:rPr>
        <w:tab/>
      </w:r>
    </w:p>
    <w:p>
      <w:pPr>
        <w:spacing w:before="0" w:after="0" w:afterAutospacing="0"/>
        <w:ind w:left="0" w:right="0" w:firstLine="420" w:firstLineChars="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地址：</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邮编：传真：</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电话：电子邮件：</w:t>
      </w:r>
    </w:p>
    <w:p>
      <w:pPr>
        <w:spacing w:before="0" w:after="0" w:afterAutospacing="0"/>
        <w:ind w:left="0" w:right="0" w:firstLine="420" w:firstLineChars="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比选申请人名称：</w:t>
      </w:r>
      <w:r>
        <w:rPr>
          <w:rFonts w:ascii="宋体" w:hAnsi="宋体"/>
          <w:color w:val="000000" w:themeColor="text1"/>
          <w:highlight w:val="none"/>
          <w:u w:val="single"/>
          <w14:textFill>
            <w14:solidFill>
              <w14:schemeClr w14:val="tx1"/>
            </w14:solidFill>
          </w14:textFill>
        </w:rPr>
        <w:t>（全称并加盖公章）</w:t>
      </w:r>
    </w:p>
    <w:p>
      <w:pPr>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比选申请人法定代表人（或其委托代理人）签字</w:t>
      </w:r>
      <w:r>
        <w:rPr>
          <w:rFonts w:hint="eastAsia" w:ascii="宋体" w:hAnsi="宋体"/>
          <w:color w:val="000000" w:themeColor="text1"/>
          <w:highlight w:val="none"/>
          <w14:textFill>
            <w14:solidFill>
              <w14:schemeClr w14:val="tx1"/>
            </w14:solidFill>
          </w14:textFill>
        </w:rPr>
        <w:t>或盖章</w:t>
      </w:r>
      <w:r>
        <w:rPr>
          <w:rFonts w:hint="eastAsia" w:ascii="宋体" w:hAnsi="宋体" w:cs="Arial"/>
          <w:color w:val="000000" w:themeColor="text1"/>
          <w:highlight w:val="none"/>
          <w14:textFill>
            <w14:solidFill>
              <w14:schemeClr w14:val="tx1"/>
            </w14:solidFill>
          </w14:textFill>
        </w:rPr>
        <w:t>：</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sectPr>
          <w:pgSz w:w="11905" w:h="16838"/>
          <w:pgMar w:top="1418" w:right="1418" w:bottom="1304" w:left="1418" w:header="454" w:footer="567" w:gutter="0"/>
          <w:cols w:space="720" w:num="1"/>
          <w:docGrid w:linePitch="312" w:charSpace="0"/>
        </w:sectPr>
      </w:pPr>
      <w:r>
        <w:rPr>
          <w:rFonts w:hint="eastAsia" w:ascii="宋体" w:hAnsi="宋体" w:cs="Arial"/>
          <w:color w:val="000000" w:themeColor="text1"/>
          <w:highlight w:val="none"/>
          <w14:textFill>
            <w14:solidFill>
              <w14:schemeClr w14:val="tx1"/>
            </w14:solidFill>
          </w14:textFill>
        </w:rPr>
        <w:t xml:space="preserve">日期：   </w:t>
      </w:r>
      <w:r>
        <w:rPr>
          <w:rFonts w:ascii="宋体" w:hAnsi="宋体"/>
          <w:color w:val="000000" w:themeColor="text1"/>
          <w:highlight w:val="none"/>
          <w14:textFill>
            <w14:solidFill>
              <w14:schemeClr w14:val="tx1"/>
            </w14:solidFill>
          </w14:textFill>
        </w:rPr>
        <w:t>年月日</w:t>
      </w:r>
    </w:p>
    <w:p>
      <w:pPr>
        <w:ind w:left="0" w:firstLine="0"/>
        <w:rPr>
          <w:rFonts w:ascii="宋体" w:hAnsi="宋体"/>
          <w:b/>
          <w:bCs/>
          <w:color w:val="000000" w:themeColor="text1"/>
          <w:highlight w:val="none"/>
          <w14:textFill>
            <w14:solidFill>
              <w14:schemeClr w14:val="tx1"/>
            </w14:solidFill>
          </w14:textFill>
        </w:rPr>
      </w:pPr>
      <w:r>
        <w:rPr>
          <w:rFonts w:ascii="宋体" w:hAnsi="宋体"/>
          <w:b/>
          <w:bCs/>
          <w:color w:val="000000" w:themeColor="text1"/>
          <w:highlight w:val="none"/>
          <w14:textFill>
            <w14:solidFill>
              <w14:schemeClr w14:val="tx1"/>
            </w14:solidFill>
          </w14:textFill>
        </w:rPr>
        <w:t>B</w:t>
      </w:r>
      <w:r>
        <w:rPr>
          <w:rFonts w:hint="eastAsia" w:ascii="宋体" w:hAnsi="宋体"/>
          <w:b/>
          <w:bCs/>
          <w:color w:val="000000" w:themeColor="text1"/>
          <w:highlight w:val="none"/>
          <w14:textFill>
            <w14:solidFill>
              <w14:schemeClr w14:val="tx1"/>
            </w14:solidFill>
          </w14:textFill>
        </w:rPr>
        <w:t>3比选申请人认为应提交的其他比选申请资料（如有）。</w:t>
      </w:r>
    </w:p>
    <w:p>
      <w:pPr>
        <w:pStyle w:val="2"/>
        <w:pageBreakBefore/>
        <w:spacing w:after="100"/>
        <w:ind w:right="-57" w:firstLine="0"/>
        <w:jc w:val="center"/>
        <w:rPr>
          <w:rFonts w:hAnsi="宋体"/>
          <w:b w:val="0"/>
          <w:color w:val="000000" w:themeColor="text1"/>
          <w:sz w:val="24"/>
          <w:szCs w:val="24"/>
          <w:highlight w:val="none"/>
          <w14:textFill>
            <w14:solidFill>
              <w14:schemeClr w14:val="tx1"/>
            </w14:solidFill>
          </w14:textFill>
        </w:rPr>
      </w:pPr>
      <w:bookmarkStart w:id="1370" w:name="_Toc492478827"/>
      <w:bookmarkStart w:id="1371" w:name="_Toc19107"/>
      <w:bookmarkStart w:id="1372" w:name="_Toc414290562"/>
      <w:bookmarkStart w:id="1373" w:name="_Toc22423"/>
      <w:bookmarkStart w:id="1374" w:name="_Toc114134670"/>
      <w:bookmarkStart w:id="1375" w:name="_Toc13548"/>
      <w:bookmarkStart w:id="1376" w:name="_Toc8563"/>
      <w:bookmarkStart w:id="1377" w:name="_Toc13870"/>
      <w:bookmarkStart w:id="1378" w:name="_Toc6034"/>
      <w:bookmarkStart w:id="1379" w:name="_Toc25220"/>
      <w:bookmarkStart w:id="1380" w:name="_Toc29577"/>
      <w:bookmarkStart w:id="1381" w:name="_Toc25635"/>
      <w:bookmarkStart w:id="1382" w:name="_Toc9876"/>
      <w:bookmarkStart w:id="1383" w:name="_Toc14091"/>
      <w:bookmarkStart w:id="1384" w:name="_Toc32381"/>
      <w:bookmarkStart w:id="1385" w:name="_Toc30812"/>
      <w:bookmarkStart w:id="1386" w:name="_Toc19413"/>
      <w:bookmarkStart w:id="1387" w:name="_Toc30649"/>
      <w:bookmarkStart w:id="1388" w:name="_Toc2327"/>
      <w:bookmarkStart w:id="1389" w:name="_Toc15451"/>
      <w:bookmarkStart w:id="1390" w:name="_Toc3307"/>
      <w:bookmarkStart w:id="1391" w:name="_Toc17664"/>
      <w:r>
        <w:rPr>
          <w:rFonts w:hint="eastAsia"/>
          <w:color w:val="000000" w:themeColor="text1"/>
          <w:sz w:val="24"/>
          <w:szCs w:val="24"/>
          <w:highlight w:val="none"/>
          <w14:textFill>
            <w14:solidFill>
              <w14:schemeClr w14:val="tx1"/>
            </w14:solidFill>
          </w14:textFill>
        </w:rPr>
        <w:t>C</w:t>
      </w:r>
      <w:r>
        <w:rPr>
          <w:rFonts w:hAnsi="宋体"/>
          <w:color w:val="000000" w:themeColor="text1"/>
          <w:sz w:val="24"/>
          <w:szCs w:val="24"/>
          <w:highlight w:val="none"/>
          <w14:textFill>
            <w14:solidFill>
              <w14:schemeClr w14:val="tx1"/>
            </w14:solidFill>
          </w14:textFill>
        </w:rPr>
        <w:t>技术</w:t>
      </w:r>
      <w:bookmarkEnd w:id="1370"/>
      <w:bookmarkEnd w:id="1371"/>
      <w:bookmarkEnd w:id="1372"/>
      <w:bookmarkStart w:id="1392" w:name="_Toc74938308"/>
      <w:bookmarkStart w:id="1393" w:name="_Toc224010320"/>
      <w:bookmarkStart w:id="1394" w:name="_Toc17887241"/>
      <w:bookmarkStart w:id="1395" w:name="_Toc99697927"/>
      <w:bookmarkStart w:id="1396" w:name="_Toc18770050"/>
      <w:r>
        <w:rPr>
          <w:rFonts w:hint="eastAsia" w:hAnsi="宋体"/>
          <w:color w:val="000000" w:themeColor="text1"/>
          <w:sz w:val="24"/>
          <w:szCs w:val="24"/>
          <w:highlight w:val="none"/>
          <w14:textFill>
            <w14:solidFill>
              <w14:schemeClr w14:val="tx1"/>
            </w14:solidFill>
          </w14:textFill>
        </w:rPr>
        <w:t>文件</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pPr>
        <w:spacing w:before="0" w:after="0" w:afterAutospacing="0"/>
        <w:ind w:left="0" w:right="0" w:firstLine="422" w:firstLineChars="200"/>
        <w:jc w:val="left"/>
        <w:rPr>
          <w:rFonts w:hAnsi="宋体"/>
          <w:b/>
          <w:color w:val="000000" w:themeColor="text1"/>
          <w:sz w:val="44"/>
          <w:szCs w:val="44"/>
          <w:highlight w:val="none"/>
          <w14:textFill>
            <w14:solidFill>
              <w14:schemeClr w14:val="tx1"/>
            </w14:solidFill>
          </w14:textFill>
        </w:rPr>
      </w:pPr>
      <w:r>
        <w:rPr>
          <w:rFonts w:hint="eastAsia" w:hAnsi="宋体"/>
          <w:b/>
          <w:color w:val="000000" w:themeColor="text1"/>
          <w:highlight w:val="none"/>
          <w14:textFill>
            <w14:solidFill>
              <w14:schemeClr w14:val="tx1"/>
            </w14:solidFill>
          </w14:textFill>
        </w:rPr>
        <w:t>技术文件格式</w:t>
      </w:r>
    </w:p>
    <w:p>
      <w:pPr>
        <w:spacing w:before="0" w:after="0" w:afterAutospacing="0"/>
        <w:ind w:left="0" w:right="0" w:firstLine="315" w:firstLineChars="15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w:t>
      </w:r>
      <w:bookmarkEnd w:id="1392"/>
      <w:bookmarkEnd w:id="1393"/>
      <w:bookmarkEnd w:id="1394"/>
      <w:bookmarkEnd w:id="1395"/>
      <w:bookmarkEnd w:id="1396"/>
      <w:bookmarkStart w:id="1397" w:name="_Toc25750684"/>
      <w:r>
        <w:rPr>
          <w:rFonts w:hint="eastAsia"/>
          <w:color w:val="000000" w:themeColor="text1"/>
          <w:highlight w:val="none"/>
          <w14:textFill>
            <w14:solidFill>
              <w14:schemeClr w14:val="tx1"/>
            </w14:solidFill>
          </w14:textFill>
        </w:rPr>
        <w:t>技术响应表（格式见C1）；</w:t>
      </w:r>
    </w:p>
    <w:p>
      <w:pPr>
        <w:spacing w:before="0" w:after="0" w:afterAutospacing="0"/>
        <w:ind w:left="0" w:right="0" w:firstLine="315" w:firstLineChars="15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（2）商务响应表（格式见C2）；</w:t>
      </w:r>
    </w:p>
    <w:p>
      <w:pPr>
        <w:spacing w:before="0" w:after="0" w:afterAutospacing="0"/>
        <w:ind w:left="0" w:right="0" w:firstLine="315" w:firstLineChars="15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（3）项目人员配置（格式见C3）</w:t>
      </w:r>
    </w:p>
    <w:p>
      <w:pPr>
        <w:spacing w:before="0" w:after="0" w:afterAutospacing="0"/>
        <w:ind w:left="0" w:right="0" w:firstLine="315" w:firstLineChars="15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4</w:t>
      </w:r>
      <w:r>
        <w:rPr>
          <w:rFonts w:hint="eastAsia"/>
          <w:color w:val="000000" w:themeColor="text1"/>
          <w:highlight w:val="none"/>
          <w14:textFill>
            <w14:solidFill>
              <w14:schemeClr w14:val="tx1"/>
            </w14:solidFill>
          </w14:textFill>
        </w:rPr>
        <w:t>）</w:t>
      </w:r>
      <w:r>
        <w:rPr>
          <w:rFonts w:hint="eastAsia"/>
          <w:color w:val="000000" w:themeColor="text1"/>
          <w:highlight w:val="none"/>
          <w:lang w:eastAsia="zh-CN"/>
          <w14:textFill>
            <w14:solidFill>
              <w14:schemeClr w14:val="tx1"/>
            </w14:solidFill>
          </w14:textFill>
        </w:rPr>
        <w:t>服务建议书</w:t>
      </w:r>
      <w:r>
        <w:rPr>
          <w:rFonts w:hint="eastAsia"/>
          <w:color w:val="000000" w:themeColor="text1"/>
          <w:highlight w:val="none"/>
          <w14:textFill>
            <w14:solidFill>
              <w14:schemeClr w14:val="tx1"/>
            </w14:solidFill>
          </w14:textFill>
        </w:rPr>
        <w:t>（格式见C</w:t>
      </w:r>
      <w:r>
        <w:rPr>
          <w:rFonts w:hint="eastAsia"/>
          <w:color w:val="000000" w:themeColor="text1"/>
          <w:highlight w:val="none"/>
          <w:lang w:val="en-US" w:eastAsia="zh-CN"/>
          <w14:textFill>
            <w14:solidFill>
              <w14:schemeClr w14:val="tx1"/>
            </w14:solidFill>
          </w14:textFill>
        </w:rPr>
        <w:t>4</w:t>
      </w:r>
      <w:r>
        <w:rPr>
          <w:rFonts w:hint="eastAsia"/>
          <w:color w:val="000000" w:themeColor="text1"/>
          <w:highlight w:val="none"/>
          <w14:textFill>
            <w14:solidFill>
              <w14:schemeClr w14:val="tx1"/>
            </w14:solidFill>
          </w14:textFill>
        </w:rPr>
        <w:t>）</w:t>
      </w:r>
    </w:p>
    <w:p>
      <w:pPr>
        <w:spacing w:before="0" w:after="0" w:afterAutospacing="0"/>
        <w:ind w:left="0" w:right="0"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5</w:t>
      </w:r>
      <w:r>
        <w:rPr>
          <w:rFonts w:hint="eastAsia"/>
          <w:color w:val="000000" w:themeColor="text1"/>
          <w:highlight w:val="none"/>
          <w14:textFill>
            <w14:solidFill>
              <w14:schemeClr w14:val="tx1"/>
            </w14:solidFill>
          </w14:textFill>
        </w:rPr>
        <w:t>）业绩：</w:t>
      </w:r>
      <w:r>
        <w:rPr>
          <w:rFonts w:hint="eastAsia" w:ascii="宋体" w:hAnsi="宋体"/>
          <w:color w:val="000000" w:themeColor="text1"/>
          <w:highlight w:val="none"/>
          <w:lang w:val="en-US" w:eastAsia="zh-CN"/>
          <w14:textFill>
            <w14:solidFill>
              <w14:schemeClr w14:val="tx1"/>
            </w14:solidFill>
          </w14:textFill>
        </w:rPr>
        <w:t>比选申请人自2021年1月1日至比选申请截止时间前，承接过（完工/在建项目）1个及以上50万元（含）以上的市政工程设计项目</w:t>
      </w:r>
      <w:r>
        <w:rPr>
          <w:rFonts w:hint="eastAsia" w:ascii="宋体" w:hAnsi="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提供下述材料之一即可：①合同文件；②中标</w:t>
      </w:r>
      <w:r>
        <w:rPr>
          <w:rFonts w:hint="eastAsia"/>
          <w:color w:val="000000" w:themeColor="text1"/>
          <w:highlight w:val="none"/>
          <w:lang w:val="en-US" w:eastAsia="zh-CN"/>
          <w14:textFill>
            <w14:solidFill>
              <w14:schemeClr w14:val="tx1"/>
            </w14:solidFill>
          </w14:textFill>
        </w:rPr>
        <w:t>/中选</w:t>
      </w:r>
      <w:bookmarkStart w:id="1516" w:name="_GoBack"/>
      <w:bookmarkEnd w:id="1516"/>
      <w:r>
        <w:rPr>
          <w:rFonts w:hint="eastAsia"/>
          <w:color w:val="000000" w:themeColor="text1"/>
          <w:highlight w:val="none"/>
          <w14:textFill>
            <w14:solidFill>
              <w14:schemeClr w14:val="tx1"/>
            </w14:solidFill>
          </w14:textFill>
        </w:rPr>
        <w:t>通知书。所提供的材料须能明确反映类似项目特征，复印件加盖比选申请人公章（格式见C</w:t>
      </w:r>
      <w:r>
        <w:rPr>
          <w:rFonts w:hint="eastAsia"/>
          <w:color w:val="000000" w:themeColor="text1"/>
          <w:highlight w:val="none"/>
          <w:lang w:val="en-US" w:eastAsia="zh-CN"/>
          <w14:textFill>
            <w14:solidFill>
              <w14:schemeClr w14:val="tx1"/>
            </w14:solidFill>
          </w14:textFill>
        </w:rPr>
        <w:t>5</w:t>
      </w:r>
      <w:r>
        <w:rPr>
          <w:rFonts w:hint="eastAsia"/>
          <w:color w:val="000000" w:themeColor="text1"/>
          <w:highlight w:val="none"/>
          <w14:textFill>
            <w14:solidFill>
              <w14:schemeClr w14:val="tx1"/>
            </w14:solidFill>
          </w14:textFill>
        </w:rPr>
        <w:t>）。</w:t>
      </w:r>
    </w:p>
    <w:p>
      <w:pPr>
        <w:spacing w:before="0" w:after="0" w:afterAutospacing="0"/>
        <w:ind w:left="0" w:right="0" w:firstLine="315" w:firstLineChars="15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6</w:t>
      </w:r>
      <w:r>
        <w:rPr>
          <w:rFonts w:hint="eastAsia"/>
          <w:color w:val="000000" w:themeColor="text1"/>
          <w:highlight w:val="none"/>
          <w14:textFill>
            <w14:solidFill>
              <w14:schemeClr w14:val="tx1"/>
            </w14:solidFill>
          </w14:textFill>
        </w:rPr>
        <w:t>）比选申请人认为应提交的其他比选申请资料（如有）。</w:t>
      </w:r>
    </w:p>
    <w:p>
      <w:pPr>
        <w:pStyle w:val="3"/>
        <w:tabs>
          <w:tab w:val="left" w:pos="567"/>
          <w:tab w:val="left" w:pos="720"/>
        </w:tabs>
        <w:snapToGrid w:val="0"/>
        <w:spacing w:after="100" w:line="360" w:lineRule="auto"/>
        <w:ind w:right="-57" w:firstLine="0"/>
        <w:jc w:val="left"/>
        <w:rPr>
          <w:rFonts w:ascii="宋体" w:hAnsi="宋体" w:eastAsia="宋体"/>
          <w:color w:val="000000" w:themeColor="text1"/>
          <w:sz w:val="21"/>
          <w:szCs w:val="21"/>
          <w:highlight w:val="none"/>
          <w14:textFill>
            <w14:solidFill>
              <w14:schemeClr w14:val="tx1"/>
            </w14:solidFill>
          </w14:textFill>
        </w:rPr>
      </w:pPr>
    </w:p>
    <w:p>
      <w:pPr>
        <w:pStyle w:val="3"/>
        <w:tabs>
          <w:tab w:val="left" w:pos="567"/>
          <w:tab w:val="left" w:pos="720"/>
        </w:tabs>
        <w:snapToGrid w:val="0"/>
        <w:spacing w:after="100" w:line="360" w:lineRule="auto"/>
        <w:ind w:right="-57" w:firstLine="0"/>
        <w:jc w:val="left"/>
        <w:rPr>
          <w:rFonts w:ascii="宋体" w:hAnsi="宋体" w:eastAsia="宋体"/>
          <w:color w:val="000000" w:themeColor="text1"/>
          <w:sz w:val="21"/>
          <w:szCs w:val="21"/>
          <w:highlight w:val="none"/>
          <w14:textFill>
            <w14:solidFill>
              <w14:schemeClr w14:val="tx1"/>
            </w14:solidFill>
          </w14:textFill>
        </w:rPr>
      </w:pPr>
    </w:p>
    <w:p>
      <w:pPr>
        <w:pStyle w:val="3"/>
        <w:tabs>
          <w:tab w:val="left" w:pos="567"/>
          <w:tab w:val="left" w:pos="720"/>
        </w:tabs>
        <w:snapToGrid w:val="0"/>
        <w:spacing w:after="100" w:line="360" w:lineRule="auto"/>
        <w:ind w:right="-57" w:firstLine="0"/>
        <w:jc w:val="left"/>
        <w:rPr>
          <w:rFonts w:ascii="宋体" w:hAnsi="宋体" w:eastAsia="宋体"/>
          <w:color w:val="000000" w:themeColor="text1"/>
          <w:sz w:val="21"/>
          <w:szCs w:val="21"/>
          <w:highlight w:val="none"/>
          <w14:textFill>
            <w14:solidFill>
              <w14:schemeClr w14:val="tx1"/>
            </w14:solidFill>
          </w14:textFill>
        </w:rPr>
      </w:pPr>
    </w:p>
    <w:p>
      <w:pPr>
        <w:pStyle w:val="3"/>
        <w:tabs>
          <w:tab w:val="left" w:pos="567"/>
          <w:tab w:val="left" w:pos="720"/>
        </w:tabs>
        <w:snapToGrid w:val="0"/>
        <w:spacing w:after="100" w:line="360" w:lineRule="auto"/>
        <w:ind w:right="-57" w:firstLine="0"/>
        <w:jc w:val="left"/>
        <w:rPr>
          <w:rFonts w:ascii="宋体" w:hAnsi="宋体" w:eastAsia="宋体"/>
          <w:color w:val="000000" w:themeColor="text1"/>
          <w:sz w:val="21"/>
          <w:szCs w:val="21"/>
          <w:highlight w:val="none"/>
          <w14:textFill>
            <w14:solidFill>
              <w14:schemeClr w14:val="tx1"/>
            </w14:solidFill>
          </w14:textFill>
        </w:rPr>
      </w:pPr>
    </w:p>
    <w:p>
      <w:pPr>
        <w:pStyle w:val="3"/>
        <w:tabs>
          <w:tab w:val="left" w:pos="567"/>
          <w:tab w:val="left" w:pos="720"/>
        </w:tabs>
        <w:snapToGrid w:val="0"/>
        <w:spacing w:after="100" w:line="360" w:lineRule="auto"/>
        <w:ind w:right="-57" w:firstLine="0"/>
        <w:jc w:val="left"/>
        <w:rPr>
          <w:rFonts w:ascii="宋体" w:hAnsi="宋体" w:eastAsia="宋体"/>
          <w:color w:val="000000" w:themeColor="text1"/>
          <w:sz w:val="21"/>
          <w:szCs w:val="21"/>
          <w:highlight w:val="none"/>
          <w14:textFill>
            <w14:solidFill>
              <w14:schemeClr w14:val="tx1"/>
            </w14:solidFill>
          </w14:textFill>
        </w:rPr>
      </w:pPr>
    </w:p>
    <w:p>
      <w:pPr>
        <w:pStyle w:val="3"/>
        <w:tabs>
          <w:tab w:val="left" w:pos="567"/>
          <w:tab w:val="left" w:pos="720"/>
        </w:tabs>
        <w:snapToGrid w:val="0"/>
        <w:spacing w:after="100" w:line="360" w:lineRule="auto"/>
        <w:ind w:right="-57" w:firstLine="0"/>
        <w:jc w:val="left"/>
        <w:rPr>
          <w:rFonts w:ascii="宋体" w:hAnsi="宋体" w:eastAsia="宋体"/>
          <w:color w:val="000000" w:themeColor="text1"/>
          <w:sz w:val="21"/>
          <w:szCs w:val="21"/>
          <w:highlight w:val="none"/>
          <w14:textFill>
            <w14:solidFill>
              <w14:schemeClr w14:val="tx1"/>
            </w14:solidFill>
          </w14:textFill>
        </w:rPr>
      </w:pPr>
    </w:p>
    <w:p>
      <w:pPr>
        <w:pStyle w:val="3"/>
        <w:tabs>
          <w:tab w:val="left" w:pos="567"/>
          <w:tab w:val="left" w:pos="720"/>
        </w:tabs>
        <w:snapToGrid w:val="0"/>
        <w:spacing w:after="100" w:line="360" w:lineRule="auto"/>
        <w:ind w:right="-57" w:firstLine="0"/>
        <w:jc w:val="left"/>
        <w:rPr>
          <w:rFonts w:ascii="宋体" w:hAnsi="宋体" w:eastAsia="宋体"/>
          <w:color w:val="000000" w:themeColor="text1"/>
          <w:sz w:val="21"/>
          <w:szCs w:val="21"/>
          <w:highlight w:val="none"/>
          <w14:textFill>
            <w14:solidFill>
              <w14:schemeClr w14:val="tx1"/>
            </w14:solidFill>
          </w14:textFill>
        </w:rPr>
      </w:pPr>
    </w:p>
    <w:p>
      <w:pPr>
        <w:pStyle w:val="11"/>
        <w:rPr>
          <w:rFonts w:ascii="宋体" w:hAnsi="宋体"/>
          <w:color w:val="000000" w:themeColor="text1"/>
          <w:highlight w:val="none"/>
          <w14:textFill>
            <w14:solidFill>
              <w14:schemeClr w14:val="tx1"/>
            </w14:solidFill>
          </w14:textFill>
        </w:rPr>
      </w:pPr>
    </w:p>
    <w:p>
      <w:pPr>
        <w:pStyle w:val="11"/>
        <w:rPr>
          <w:rFonts w:ascii="宋体" w:hAnsi="宋体"/>
          <w:color w:val="000000" w:themeColor="text1"/>
          <w:highlight w:val="none"/>
          <w14:textFill>
            <w14:solidFill>
              <w14:schemeClr w14:val="tx1"/>
            </w14:solidFill>
          </w14:textFill>
        </w:rPr>
      </w:pPr>
    </w:p>
    <w:p>
      <w:pPr>
        <w:pStyle w:val="11"/>
        <w:rPr>
          <w:rFonts w:ascii="宋体" w:hAnsi="宋体"/>
          <w:color w:val="000000" w:themeColor="text1"/>
          <w:highlight w:val="none"/>
          <w14:textFill>
            <w14:solidFill>
              <w14:schemeClr w14:val="tx1"/>
            </w14:solidFill>
          </w14:textFill>
        </w:rPr>
      </w:pPr>
    </w:p>
    <w:p>
      <w:pPr>
        <w:pStyle w:val="11"/>
        <w:rPr>
          <w:rFonts w:ascii="宋体" w:hAnsi="宋体"/>
          <w:color w:val="000000" w:themeColor="text1"/>
          <w:highlight w:val="none"/>
          <w14:textFill>
            <w14:solidFill>
              <w14:schemeClr w14:val="tx1"/>
            </w14:solidFill>
          </w14:textFill>
        </w:rPr>
      </w:pPr>
    </w:p>
    <w:p>
      <w:pPr>
        <w:pStyle w:val="3"/>
        <w:tabs>
          <w:tab w:val="left" w:pos="567"/>
          <w:tab w:val="left" w:pos="720"/>
        </w:tabs>
        <w:snapToGrid w:val="0"/>
        <w:spacing w:after="100" w:line="360" w:lineRule="auto"/>
        <w:ind w:right="-57" w:firstLine="0"/>
        <w:jc w:val="left"/>
        <w:rPr>
          <w:rFonts w:ascii="宋体" w:hAnsi="宋体" w:eastAsia="宋体"/>
          <w:color w:val="000000" w:themeColor="text1"/>
          <w:sz w:val="21"/>
          <w:szCs w:val="21"/>
          <w:highlight w:val="none"/>
          <w14:textFill>
            <w14:solidFill>
              <w14:schemeClr w14:val="tx1"/>
            </w14:solidFill>
          </w14:textFill>
        </w:rPr>
      </w:pPr>
    </w:p>
    <w:p>
      <w:pPr>
        <w:pStyle w:val="3"/>
        <w:tabs>
          <w:tab w:val="left" w:pos="567"/>
          <w:tab w:val="left" w:pos="720"/>
        </w:tabs>
        <w:snapToGrid w:val="0"/>
        <w:spacing w:after="100" w:line="360" w:lineRule="auto"/>
        <w:ind w:right="-57" w:firstLine="0"/>
        <w:jc w:val="left"/>
        <w:rPr>
          <w:rFonts w:ascii="宋体" w:hAnsi="宋体" w:eastAsia="宋体"/>
          <w:color w:val="000000" w:themeColor="text1"/>
          <w:sz w:val="21"/>
          <w:szCs w:val="21"/>
          <w:highlight w:val="none"/>
          <w14:textFill>
            <w14:solidFill>
              <w14:schemeClr w14:val="tx1"/>
            </w14:solidFill>
          </w14:textFill>
        </w:rPr>
      </w:pPr>
    </w:p>
    <w:p>
      <w:pPr>
        <w:pStyle w:val="11"/>
        <w:rPr>
          <w:color w:val="000000" w:themeColor="text1"/>
          <w:highlight w:val="none"/>
          <w14:textFill>
            <w14:solidFill>
              <w14:schemeClr w14:val="tx1"/>
            </w14:solidFill>
          </w14:textFill>
        </w:rPr>
      </w:pPr>
    </w:p>
    <w:p>
      <w:pPr>
        <w:pStyle w:val="3"/>
        <w:tabs>
          <w:tab w:val="left" w:pos="567"/>
          <w:tab w:val="left" w:pos="720"/>
        </w:tabs>
        <w:snapToGrid w:val="0"/>
        <w:spacing w:after="100" w:line="360" w:lineRule="auto"/>
        <w:ind w:right="-57" w:firstLine="0"/>
        <w:jc w:val="left"/>
        <w:rPr>
          <w:rFonts w:ascii="宋体" w:hAnsi="宋体" w:eastAsia="宋体"/>
          <w:color w:val="000000" w:themeColor="text1"/>
          <w:sz w:val="21"/>
          <w:szCs w:val="21"/>
          <w:highlight w:val="none"/>
          <w14:textFill>
            <w14:solidFill>
              <w14:schemeClr w14:val="tx1"/>
            </w14:solidFill>
          </w14:textFill>
        </w:rPr>
      </w:pPr>
      <w:bookmarkStart w:id="1398" w:name="_Toc7867"/>
      <w:bookmarkStart w:id="1399" w:name="_Toc559"/>
      <w:bookmarkStart w:id="1400" w:name="_Toc114134671"/>
      <w:r>
        <w:rPr>
          <w:rFonts w:hint="eastAsia" w:ascii="宋体" w:hAnsi="宋体" w:eastAsia="宋体"/>
          <w:color w:val="000000" w:themeColor="text1"/>
          <w:sz w:val="21"/>
          <w:szCs w:val="21"/>
          <w:highlight w:val="none"/>
          <w14:textFill>
            <w14:solidFill>
              <w14:schemeClr w14:val="tx1"/>
            </w14:solidFill>
          </w14:textFill>
        </w:rPr>
        <w:t xml:space="preserve">C1 </w:t>
      </w:r>
      <w:r>
        <w:rPr>
          <w:rFonts w:ascii="宋体" w:hAnsi="宋体" w:eastAsia="宋体"/>
          <w:color w:val="000000" w:themeColor="text1"/>
          <w:sz w:val="21"/>
          <w:szCs w:val="21"/>
          <w:highlight w:val="none"/>
          <w14:textFill>
            <w14:solidFill>
              <w14:schemeClr w14:val="tx1"/>
            </w14:solidFill>
          </w14:textFill>
        </w:rPr>
        <w:t>技术响应表</w:t>
      </w:r>
      <w:r>
        <w:rPr>
          <w:rFonts w:hint="eastAsia" w:ascii="宋体" w:hAnsi="宋体" w:eastAsia="宋体"/>
          <w:color w:val="000000" w:themeColor="text1"/>
          <w:sz w:val="21"/>
          <w:szCs w:val="21"/>
          <w:highlight w:val="none"/>
          <w14:textFill>
            <w14:solidFill>
              <w14:schemeClr w14:val="tx1"/>
            </w14:solidFill>
          </w14:textFill>
        </w:rPr>
        <w:t>格式</w:t>
      </w:r>
      <w:bookmarkEnd w:id="1397"/>
      <w:bookmarkEnd w:id="1398"/>
      <w:bookmarkEnd w:id="1399"/>
      <w:bookmarkEnd w:id="1400"/>
    </w:p>
    <w:p>
      <w:pPr>
        <w:spacing w:before="0"/>
        <w:ind w:right="-57" w:firstLine="0"/>
        <w:jc w:val="center"/>
        <w:rPr>
          <w:rFonts w:ascii="宋体" w:hAnsi="宋体"/>
          <w:b/>
          <w:color w:val="000000" w:themeColor="text1"/>
          <w:sz w:val="28"/>
          <w:szCs w:val="28"/>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技术响应表</w:t>
      </w:r>
      <w:r>
        <w:rPr>
          <w:rFonts w:hint="eastAsia" w:ascii="宋体" w:hAnsi="宋体" w:cs="宋体"/>
          <w:color w:val="000000" w:themeColor="text1"/>
          <w:sz w:val="16"/>
          <w:szCs w:val="16"/>
          <w:highlight w:val="none"/>
          <w14:textFill>
            <w14:solidFill>
              <w14:schemeClr w14:val="tx1"/>
            </w14:solidFill>
          </w14:textFill>
        </w:rPr>
        <w:t>（不论有无偏离，均须逐项填写偏离情况）</w:t>
      </w:r>
    </w:p>
    <w:p>
      <w:pPr>
        <w:spacing w:before="0" w:after="0" w:afterAutospacing="0"/>
        <w:ind w:right="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比选申请人名称：</w:t>
      </w:r>
    </w:p>
    <w:tbl>
      <w:tblPr>
        <w:tblStyle w:val="35"/>
        <w:tblW w:w="88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30"/>
        <w:gridCol w:w="1593"/>
        <w:gridCol w:w="1961"/>
        <w:gridCol w:w="2201"/>
        <w:gridCol w:w="1418"/>
        <w:gridCol w:w="1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5" w:hRule="atLeast"/>
          <w:jc w:val="center"/>
        </w:trPr>
        <w:tc>
          <w:tcPr>
            <w:tcW w:w="530"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序号</w:t>
            </w:r>
          </w:p>
        </w:tc>
        <w:tc>
          <w:tcPr>
            <w:tcW w:w="1593"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比选文件条目号</w:t>
            </w:r>
          </w:p>
        </w:tc>
        <w:tc>
          <w:tcPr>
            <w:tcW w:w="196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比选文件要求</w:t>
            </w:r>
          </w:p>
        </w:tc>
        <w:tc>
          <w:tcPr>
            <w:tcW w:w="2201"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比选申请文件响应</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偏离</w:t>
            </w:r>
          </w:p>
        </w:tc>
        <w:tc>
          <w:tcPr>
            <w:tcW w:w="1177"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r>
              <w:rPr>
                <w:rFonts w:hint="eastAsia" w:cs="Arial"/>
                <w:color w:val="000000" w:themeColor="text1"/>
                <w:kern w:val="2"/>
                <w:highlight w:val="none"/>
                <w:u w:val="single"/>
                <w14:textFill>
                  <w14:solidFill>
                    <w14:schemeClr w14:val="tx1"/>
                  </w14:solidFill>
                </w14:textFill>
              </w:rPr>
              <w:t>1</w:t>
            </w:r>
          </w:p>
        </w:tc>
        <w:tc>
          <w:tcPr>
            <w:tcW w:w="1593"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"_Toc25750588" </w:instrText>
            </w:r>
            <w:r>
              <w:rPr>
                <w:color w:val="000000" w:themeColor="text1"/>
                <w:highlight w:val="none"/>
                <w14:textFill>
                  <w14:solidFill>
                    <w14:schemeClr w14:val="tx1"/>
                  </w14:solidFill>
                </w14:textFill>
              </w:rPr>
              <w:fldChar w:fldCharType="separate"/>
            </w:r>
            <w:r>
              <w:rPr>
                <w:rFonts w:hint="eastAsia" w:ascii="宋体" w:hAnsi="宋体"/>
                <w:color w:val="000000" w:themeColor="text1"/>
                <w:highlight w:val="none"/>
                <w14:textFill>
                  <w14:solidFill>
                    <w14:schemeClr w14:val="tx1"/>
                  </w14:solidFill>
                </w14:textFill>
              </w:rPr>
              <w:t>第一章</w:t>
            </w:r>
            <w:r>
              <w:rPr>
                <w:rFonts w:hint="eastAsia" w:ascii="宋体" w:hAnsi="宋体"/>
                <w:color w:val="000000" w:themeColor="text1"/>
                <w:highlight w:val="none"/>
                <w14:textFill>
                  <w14:solidFill>
                    <w14:schemeClr w14:val="tx1"/>
                  </w14:solidFill>
                </w14:textFill>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比选公告</w:t>
            </w:r>
          </w:p>
        </w:tc>
        <w:tc>
          <w:tcPr>
            <w:tcW w:w="220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p>
        </w:tc>
        <w:tc>
          <w:tcPr>
            <w:tcW w:w="1177" w:type="dxa"/>
            <w:tcBorders>
              <w:top w:val="single" w:color="auto" w:sz="4" w:space="0"/>
              <w:left w:val="single" w:color="auto" w:sz="4" w:space="0"/>
              <w:bottom w:val="single" w:color="auto" w:sz="4" w:space="0"/>
              <w:right w:val="single" w:color="auto" w:sz="4" w:space="0"/>
            </w:tcBorders>
          </w:tcPr>
          <w:p>
            <w:pPr>
              <w:widowControl w:val="0"/>
              <w:adjustRightInd w:val="0"/>
              <w:jc w:val="center"/>
              <w:rPr>
                <w:rFonts w:cs="Arial"/>
                <w:color w:val="000000" w:themeColor="text1"/>
                <w:kern w:val="2"/>
                <w:highlight w:val="none"/>
                <w:u w:val="singl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r>
              <w:rPr>
                <w:rFonts w:hint="eastAsia" w:cs="Arial"/>
                <w:color w:val="000000" w:themeColor="text1"/>
                <w:kern w:val="2"/>
                <w:highlight w:val="none"/>
                <w:u w:val="single"/>
                <w14:textFill>
                  <w14:solidFill>
                    <w14:schemeClr w14:val="tx1"/>
                  </w14:solidFill>
                </w14:textFill>
              </w:rPr>
              <w:t>2</w:t>
            </w:r>
          </w:p>
        </w:tc>
        <w:tc>
          <w:tcPr>
            <w:tcW w:w="1593"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"_Toc25750588" </w:instrText>
            </w:r>
            <w:r>
              <w:rPr>
                <w:color w:val="000000" w:themeColor="text1"/>
                <w:highlight w:val="none"/>
                <w14:textFill>
                  <w14:solidFill>
                    <w14:schemeClr w14:val="tx1"/>
                  </w14:solidFill>
                </w14:textFill>
              </w:rPr>
              <w:fldChar w:fldCharType="separate"/>
            </w:r>
            <w:r>
              <w:rPr>
                <w:rFonts w:hint="eastAsia" w:ascii="宋体" w:hAnsi="宋体"/>
                <w:color w:val="000000" w:themeColor="text1"/>
                <w:highlight w:val="none"/>
                <w14:textFill>
                  <w14:solidFill>
                    <w14:schemeClr w14:val="tx1"/>
                  </w14:solidFill>
                </w14:textFill>
              </w:rPr>
              <w:t>第二章</w:t>
            </w:r>
            <w:r>
              <w:rPr>
                <w:rFonts w:hint="eastAsia" w:ascii="宋体" w:hAnsi="宋体"/>
                <w:color w:val="000000" w:themeColor="text1"/>
                <w:highlight w:val="none"/>
                <w14:textFill>
                  <w14:solidFill>
                    <w14:schemeClr w14:val="tx1"/>
                  </w14:solidFill>
                </w14:textFill>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比选申请须知</w:t>
            </w:r>
          </w:p>
        </w:tc>
        <w:tc>
          <w:tcPr>
            <w:tcW w:w="220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p>
        </w:tc>
        <w:tc>
          <w:tcPr>
            <w:tcW w:w="1177" w:type="dxa"/>
            <w:tcBorders>
              <w:top w:val="single" w:color="auto" w:sz="4" w:space="0"/>
              <w:left w:val="single" w:color="auto" w:sz="4" w:space="0"/>
              <w:bottom w:val="single" w:color="auto" w:sz="4" w:space="0"/>
              <w:right w:val="single" w:color="auto" w:sz="4" w:space="0"/>
            </w:tcBorders>
          </w:tcPr>
          <w:p>
            <w:pPr>
              <w:widowControl w:val="0"/>
              <w:adjustRightInd w:val="0"/>
              <w:jc w:val="center"/>
              <w:rPr>
                <w:rFonts w:cs="Arial"/>
                <w:color w:val="000000" w:themeColor="text1"/>
                <w:kern w:val="2"/>
                <w:highlight w:val="none"/>
                <w:u w:val="singl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r>
              <w:rPr>
                <w:rFonts w:hint="eastAsia" w:cs="Arial"/>
                <w:color w:val="000000" w:themeColor="text1"/>
                <w:kern w:val="2"/>
                <w:highlight w:val="none"/>
                <w:u w:val="single"/>
                <w14:textFill>
                  <w14:solidFill>
                    <w14:schemeClr w14:val="tx1"/>
                  </w14:solidFill>
                </w14:textFill>
              </w:rPr>
              <w:t>3</w:t>
            </w:r>
          </w:p>
        </w:tc>
        <w:tc>
          <w:tcPr>
            <w:tcW w:w="1593"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"_Toc25750588" </w:instrText>
            </w:r>
            <w:r>
              <w:rPr>
                <w:color w:val="000000" w:themeColor="text1"/>
                <w:highlight w:val="none"/>
                <w14:textFill>
                  <w14:solidFill>
                    <w14:schemeClr w14:val="tx1"/>
                  </w14:solidFill>
                </w14:textFill>
              </w:rPr>
              <w:fldChar w:fldCharType="separate"/>
            </w:r>
            <w:r>
              <w:rPr>
                <w:rFonts w:hint="eastAsia" w:ascii="宋体" w:hAnsi="宋体"/>
                <w:color w:val="000000" w:themeColor="text1"/>
                <w:highlight w:val="none"/>
                <w14:textFill>
                  <w14:solidFill>
                    <w14:schemeClr w14:val="tx1"/>
                  </w14:solidFill>
                </w14:textFill>
              </w:rPr>
              <w:t>第三章</w:t>
            </w:r>
            <w:r>
              <w:rPr>
                <w:rFonts w:hint="eastAsia" w:ascii="宋体" w:hAnsi="宋体"/>
                <w:color w:val="000000" w:themeColor="text1"/>
                <w:highlight w:val="none"/>
                <w14:textFill>
                  <w14:solidFill>
                    <w14:schemeClr w14:val="tx1"/>
                  </w14:solidFill>
                </w14:textFill>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合同条款及格式</w:t>
            </w:r>
          </w:p>
        </w:tc>
        <w:tc>
          <w:tcPr>
            <w:tcW w:w="220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p>
        </w:tc>
        <w:tc>
          <w:tcPr>
            <w:tcW w:w="1177" w:type="dxa"/>
            <w:tcBorders>
              <w:top w:val="single" w:color="auto" w:sz="4" w:space="0"/>
              <w:left w:val="single" w:color="auto" w:sz="4" w:space="0"/>
              <w:bottom w:val="single" w:color="auto" w:sz="4" w:space="0"/>
              <w:right w:val="single" w:color="auto" w:sz="4" w:space="0"/>
            </w:tcBorders>
          </w:tcPr>
          <w:p>
            <w:pPr>
              <w:widowControl w:val="0"/>
              <w:adjustRightInd w:val="0"/>
              <w:jc w:val="center"/>
              <w:rPr>
                <w:rFonts w:cs="Arial"/>
                <w:color w:val="000000" w:themeColor="text1"/>
                <w:kern w:val="2"/>
                <w:highlight w:val="none"/>
                <w:u w:val="singl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r>
              <w:rPr>
                <w:rFonts w:hint="eastAsia" w:cs="Arial"/>
                <w:color w:val="000000" w:themeColor="text1"/>
                <w:kern w:val="2"/>
                <w:highlight w:val="none"/>
                <w:u w:val="single"/>
                <w14:textFill>
                  <w14:solidFill>
                    <w14:schemeClr w14:val="tx1"/>
                  </w14:solidFill>
                </w14:textFill>
              </w:rPr>
              <w:t>4</w:t>
            </w:r>
          </w:p>
        </w:tc>
        <w:tc>
          <w:tcPr>
            <w:tcW w:w="1593"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"_Toc25750588" </w:instrText>
            </w:r>
            <w:r>
              <w:rPr>
                <w:color w:val="000000" w:themeColor="text1"/>
                <w:highlight w:val="none"/>
                <w14:textFill>
                  <w14:solidFill>
                    <w14:schemeClr w14:val="tx1"/>
                  </w14:solidFill>
                </w14:textFill>
              </w:rPr>
              <w:fldChar w:fldCharType="separate"/>
            </w:r>
            <w:r>
              <w:rPr>
                <w:rFonts w:hint="eastAsia" w:ascii="宋体" w:hAnsi="宋体"/>
                <w:color w:val="000000" w:themeColor="text1"/>
                <w:highlight w:val="none"/>
                <w14:textFill>
                  <w14:solidFill>
                    <w14:schemeClr w14:val="tx1"/>
                  </w14:solidFill>
                </w14:textFill>
              </w:rPr>
              <w:t>第四章</w:t>
            </w:r>
            <w:r>
              <w:rPr>
                <w:rFonts w:hint="eastAsia" w:ascii="宋体" w:hAnsi="宋体"/>
                <w:color w:val="000000" w:themeColor="text1"/>
                <w:highlight w:val="none"/>
                <w14:textFill>
                  <w14:solidFill>
                    <w14:schemeClr w14:val="tx1"/>
                  </w14:solidFill>
                </w14:textFill>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比选申请文件格式</w:t>
            </w:r>
          </w:p>
        </w:tc>
        <w:tc>
          <w:tcPr>
            <w:tcW w:w="220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p>
        </w:tc>
        <w:tc>
          <w:tcPr>
            <w:tcW w:w="1177" w:type="dxa"/>
            <w:tcBorders>
              <w:top w:val="single" w:color="auto" w:sz="4" w:space="0"/>
              <w:left w:val="single" w:color="auto" w:sz="4" w:space="0"/>
              <w:bottom w:val="single" w:color="auto" w:sz="4" w:space="0"/>
              <w:right w:val="single" w:color="auto" w:sz="4" w:space="0"/>
            </w:tcBorders>
          </w:tcPr>
          <w:p>
            <w:pPr>
              <w:widowControl w:val="0"/>
              <w:adjustRightInd w:val="0"/>
              <w:jc w:val="center"/>
              <w:rPr>
                <w:rFonts w:cs="Arial"/>
                <w:color w:val="000000" w:themeColor="text1"/>
                <w:kern w:val="2"/>
                <w:highlight w:val="none"/>
                <w:u w:val="singl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83" w:hRule="atLeast"/>
          <w:jc w:val="center"/>
        </w:trPr>
        <w:tc>
          <w:tcPr>
            <w:tcW w:w="8880" w:type="dxa"/>
            <w:gridSpan w:val="6"/>
            <w:tcBorders>
              <w:top w:val="single" w:color="auto" w:sz="4" w:space="0"/>
              <w:left w:val="single" w:color="auto" w:sz="4" w:space="0"/>
              <w:bottom w:val="single" w:color="auto" w:sz="4" w:space="0"/>
              <w:right w:val="single" w:color="auto" w:sz="4" w:space="0"/>
            </w:tcBorders>
            <w:vAlign w:val="center"/>
          </w:tcPr>
          <w:p>
            <w:pPr>
              <w:widowControl w:val="0"/>
              <w:rPr>
                <w:rFonts w:cs="Arial"/>
                <w:color w:val="000000" w:themeColor="text1"/>
                <w:kern w:val="2"/>
                <w:highlight w:val="none"/>
                <w14:textFill>
                  <w14:solidFill>
                    <w14:schemeClr w14:val="tx1"/>
                  </w14:solidFill>
                </w14:textFill>
              </w:rPr>
            </w:pPr>
            <w:r>
              <w:rPr>
                <w:rFonts w:hint="eastAsia" w:cs="Arial"/>
                <w:color w:val="000000" w:themeColor="text1"/>
                <w:highlight w:val="none"/>
                <w14:textFill>
                  <w14:solidFill>
                    <w14:schemeClr w14:val="tx1"/>
                  </w14:solidFill>
                </w14:textFill>
              </w:rPr>
              <w:t>我方确认：除了表中所列的条款外，我方的比选申请函将依从比选文件对于技术的全部要求和规定。</w:t>
            </w:r>
          </w:p>
        </w:tc>
      </w:tr>
    </w:tbl>
    <w:p>
      <w:pPr>
        <w:snapToGrid w:val="0"/>
        <w:spacing w:after="50" w:line="280" w:lineRule="exact"/>
        <w:ind w:left="955" w:leftChars="455" w:right="-817" w:firstLine="2832" w:firstLineChars="1349"/>
        <w:rPr>
          <w:rFonts w:ascii="宋体" w:hAnsi="宋体"/>
          <w:color w:val="000000" w:themeColor="text1"/>
          <w:highlight w:val="none"/>
          <w14:textFill>
            <w14:solidFill>
              <w14:schemeClr w14:val="tx1"/>
            </w14:solidFill>
          </w14:textFill>
        </w:rPr>
      </w:pPr>
    </w:p>
    <w:p>
      <w:pPr>
        <w:snapToGrid w:val="0"/>
        <w:spacing w:after="50" w:line="280" w:lineRule="exact"/>
        <w:ind w:left="955" w:leftChars="455" w:right="-817" w:firstLine="2832" w:firstLineChars="1349"/>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比选申请人名称（盖章）：</w:t>
      </w:r>
    </w:p>
    <w:p>
      <w:pPr>
        <w:snapToGrid w:val="0"/>
        <w:spacing w:after="50" w:line="280" w:lineRule="exact"/>
        <w:ind w:left="707" w:right="-817" w:firstLine="0"/>
        <w:jc w:val="center"/>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 法定代表人或被授权人（签字）：</w:t>
      </w:r>
    </w:p>
    <w:p>
      <w:pPr>
        <w:spacing w:before="0"/>
        <w:ind w:right="-57"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日  期：  年  月  日</w:t>
      </w:r>
    </w:p>
    <w:p>
      <w:pPr>
        <w:spacing w:before="0" w:after="0" w:afterAutospacing="0"/>
        <w:ind w:left="607" w:right="0" w:hanging="607" w:hangingChars="336"/>
        <w:rPr>
          <w:rFonts w:ascii="宋体" w:hAnsi="宋体"/>
          <w:b/>
          <w:color w:val="000000" w:themeColor="text1"/>
          <w:sz w:val="18"/>
          <w:szCs w:val="18"/>
          <w:highlight w:val="none"/>
          <w14:textFill>
            <w14:solidFill>
              <w14:schemeClr w14:val="tx1"/>
            </w14:solidFill>
          </w14:textFill>
        </w:rPr>
      </w:pPr>
      <w:r>
        <w:rPr>
          <w:rFonts w:ascii="宋体" w:hAnsi="宋体"/>
          <w:b/>
          <w:color w:val="000000" w:themeColor="text1"/>
          <w:sz w:val="18"/>
          <w:szCs w:val="18"/>
          <w:highlight w:val="none"/>
          <w14:textFill>
            <w14:solidFill>
              <w14:schemeClr w14:val="tx1"/>
            </w14:solidFill>
          </w14:textFill>
        </w:rPr>
        <w:t>说明：</w:t>
      </w:r>
    </w:p>
    <w:p>
      <w:pPr>
        <w:pStyle w:val="48"/>
        <w:tabs>
          <w:tab w:val="left" w:pos="720"/>
        </w:tabs>
        <w:spacing w:before="0" w:after="0" w:afterAutospacing="0"/>
        <w:ind w:left="0" w:right="0" w:firstLine="360" w:firstLineChars="200"/>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1.对完全响应的条目在本表“偏离情况”列中选注“完全响应”。对有偏离的条目在本表“偏离情况”列中选注“正偏离”或“负偏离”，并对“正偏离”或“负偏离”加以说明。</w:t>
      </w:r>
    </w:p>
    <w:p>
      <w:pPr>
        <w:tabs>
          <w:tab w:val="left" w:pos="720"/>
        </w:tabs>
        <w:spacing w:before="0" w:after="0" w:afterAutospacing="0"/>
        <w:ind w:left="0" w:right="0" w:firstLine="360" w:firstLineChars="200"/>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2.</w:t>
      </w:r>
      <w:r>
        <w:rPr>
          <w:rFonts w:ascii="宋体" w:hAnsi="宋体"/>
          <w:color w:val="000000" w:themeColor="text1"/>
          <w:sz w:val="18"/>
          <w:szCs w:val="18"/>
          <w:highlight w:val="none"/>
          <w14:textFill>
            <w14:solidFill>
              <w14:schemeClr w14:val="tx1"/>
            </w14:solidFill>
          </w14:textFill>
        </w:rPr>
        <w:t>正偏离是指应答的条件高于比选文件要求，负偏离是指应答的条件低于比选文件要求。</w:t>
      </w:r>
    </w:p>
    <w:p>
      <w:pPr>
        <w:tabs>
          <w:tab w:val="left" w:pos="720"/>
        </w:tabs>
        <w:spacing w:before="0" w:after="0" w:afterAutospacing="0"/>
        <w:ind w:left="0" w:right="0" w:firstLine="360" w:firstLineChars="200"/>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3.</w:t>
      </w:r>
      <w:r>
        <w:rPr>
          <w:rFonts w:ascii="宋体" w:hAnsi="宋体"/>
          <w:color w:val="000000" w:themeColor="text1"/>
          <w:sz w:val="18"/>
          <w:szCs w:val="18"/>
          <w:highlight w:val="none"/>
          <w14:textFill>
            <w14:solidFill>
              <w14:schemeClr w14:val="tx1"/>
            </w14:solidFill>
          </w14:textFill>
        </w:rPr>
        <w:t>在比选人与中选人签订合同期间，中选人未在比选申请文件“响应表”中列出偏离说明，即使其在比选申请文件的其他部分说明与比选文件要求有所不同或回避不答，亦均视为完全符合比选文件中所要求的最佳值并写入合同。若中选人在定标后及合同签订前，以上述事项为借口而不履行合同签订手续及执行合同，则视作放弃中选资格</w:t>
      </w:r>
      <w:r>
        <w:rPr>
          <w:rFonts w:hint="eastAsia" w:ascii="宋体" w:hAnsi="宋体"/>
          <w:color w:val="000000" w:themeColor="text1"/>
          <w:sz w:val="18"/>
          <w:szCs w:val="18"/>
          <w:highlight w:val="none"/>
          <w14:textFill>
            <w14:solidFill>
              <w14:schemeClr w14:val="tx1"/>
            </w14:solidFill>
          </w14:textFill>
        </w:rPr>
        <w:t xml:space="preserve">。     </w:t>
      </w:r>
    </w:p>
    <w:p>
      <w:pPr>
        <w:spacing w:before="0"/>
        <w:ind w:left="105" w:leftChars="50" w:right="-57" w:firstLine="271" w:firstLineChars="150"/>
        <w:rPr>
          <w:rFonts w:ascii="宋体" w:hAnsi="宋体"/>
          <w:b/>
          <w:color w:val="000000" w:themeColor="text1"/>
          <w:sz w:val="18"/>
          <w:szCs w:val="18"/>
          <w:highlight w:val="none"/>
          <w14:textFill>
            <w14:solidFill>
              <w14:schemeClr w14:val="tx1"/>
            </w14:solidFill>
          </w14:textFill>
        </w:rPr>
      </w:pPr>
      <w:r>
        <w:rPr>
          <w:rFonts w:hint="eastAsia" w:ascii="宋体" w:hAnsi="宋体"/>
          <w:b/>
          <w:color w:val="000000" w:themeColor="text1"/>
          <w:sz w:val="18"/>
          <w:szCs w:val="18"/>
          <w:highlight w:val="none"/>
          <w14:textFill>
            <w14:solidFill>
              <w14:schemeClr w14:val="tx1"/>
            </w14:solidFill>
          </w14:textFill>
        </w:rPr>
        <w:t>6.如有任意一项负偏离，比选申请人将不能通过符合性评审。</w:t>
      </w:r>
    </w:p>
    <w:p>
      <w:pPr>
        <w:pStyle w:val="3"/>
        <w:tabs>
          <w:tab w:val="left" w:pos="567"/>
          <w:tab w:val="left" w:pos="720"/>
        </w:tabs>
        <w:snapToGrid w:val="0"/>
        <w:spacing w:after="100" w:line="360" w:lineRule="auto"/>
        <w:ind w:right="-57" w:firstLine="0"/>
        <w:jc w:val="left"/>
        <w:rPr>
          <w:rFonts w:ascii="宋体" w:hAnsi="宋体" w:eastAsia="宋体"/>
          <w:color w:val="000000" w:themeColor="text1"/>
          <w:sz w:val="18"/>
          <w:szCs w:val="18"/>
          <w:highlight w:val="none"/>
          <w14:textFill>
            <w14:solidFill>
              <w14:schemeClr w14:val="tx1"/>
            </w14:solidFill>
          </w14:textFill>
        </w:rPr>
        <w:sectPr>
          <w:pgSz w:w="11905" w:h="16838"/>
          <w:pgMar w:top="1418" w:right="1418" w:bottom="1304" w:left="1418" w:header="454" w:footer="567" w:gutter="0"/>
          <w:cols w:space="720" w:num="1"/>
          <w:docGrid w:linePitch="312" w:charSpace="0"/>
        </w:sectPr>
      </w:pPr>
      <w:bookmarkStart w:id="1401" w:name="_Toc25750685"/>
    </w:p>
    <w:bookmarkEnd w:id="1401"/>
    <w:p>
      <w:pPr>
        <w:pStyle w:val="3"/>
        <w:tabs>
          <w:tab w:val="left" w:pos="567"/>
          <w:tab w:val="left" w:pos="720"/>
        </w:tabs>
        <w:snapToGrid w:val="0"/>
        <w:spacing w:before="120" w:after="0" w:line="360" w:lineRule="auto"/>
        <w:ind w:right="-57" w:firstLine="0"/>
        <w:jc w:val="left"/>
        <w:rPr>
          <w:rFonts w:ascii="宋体" w:hAnsi="宋体" w:eastAsia="宋体"/>
          <w:color w:val="000000" w:themeColor="text1"/>
          <w:sz w:val="21"/>
          <w:szCs w:val="21"/>
          <w:highlight w:val="none"/>
          <w14:textFill>
            <w14:solidFill>
              <w14:schemeClr w14:val="tx1"/>
            </w14:solidFill>
          </w14:textFill>
        </w:rPr>
      </w:pPr>
      <w:bookmarkStart w:id="1402" w:name="_Toc32633"/>
      <w:bookmarkStart w:id="1403" w:name="_Toc114134672"/>
      <w:bookmarkStart w:id="1404" w:name="_Toc22766"/>
      <w:bookmarkStart w:id="1405" w:name="_Toc25750687"/>
      <w:r>
        <w:rPr>
          <w:rFonts w:hint="eastAsia" w:ascii="宋体" w:hAnsi="宋体" w:eastAsia="宋体"/>
          <w:color w:val="000000" w:themeColor="text1"/>
          <w:sz w:val="21"/>
          <w:szCs w:val="21"/>
          <w:highlight w:val="none"/>
          <w14:textFill>
            <w14:solidFill>
              <w14:schemeClr w14:val="tx1"/>
            </w14:solidFill>
          </w14:textFill>
        </w:rPr>
        <w:t>C2商务响应表</w:t>
      </w:r>
      <w:r>
        <w:rPr>
          <w:rFonts w:ascii="宋体" w:hAnsi="宋体" w:eastAsia="宋体"/>
          <w:color w:val="000000" w:themeColor="text1"/>
          <w:sz w:val="21"/>
          <w:szCs w:val="21"/>
          <w:highlight w:val="none"/>
          <w14:textFill>
            <w14:solidFill>
              <w14:schemeClr w14:val="tx1"/>
            </w14:solidFill>
          </w14:textFill>
        </w:rPr>
        <w:t>格式</w:t>
      </w:r>
      <w:bookmarkEnd w:id="1402"/>
      <w:bookmarkEnd w:id="1403"/>
      <w:bookmarkEnd w:id="1404"/>
      <w:bookmarkEnd w:id="1405"/>
    </w:p>
    <w:p>
      <w:pPr>
        <w:ind w:right="-57" w:firstLine="0"/>
        <w:jc w:val="center"/>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商务响应表</w:t>
      </w:r>
    </w:p>
    <w:p>
      <w:pPr>
        <w:spacing w:before="0" w:after="0" w:afterAutospacing="0"/>
        <w:ind w:right="-57" w:firstLine="0"/>
        <w:jc w:val="left"/>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项目名称：</w:t>
      </w:r>
    </w:p>
    <w:tbl>
      <w:tblPr>
        <w:tblStyle w:val="35"/>
        <w:tblW w:w="9049" w:type="dxa"/>
        <w:tblInd w:w="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817"/>
        <w:gridCol w:w="2977"/>
        <w:gridCol w:w="2410"/>
        <w:gridCol w:w="1842"/>
        <w:gridCol w:w="1003"/>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项目</w:t>
            </w:r>
          </w:p>
        </w:tc>
        <w:tc>
          <w:tcPr>
            <w:tcW w:w="297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比选文件要求内容所在章节</w:t>
            </w:r>
          </w:p>
        </w:tc>
        <w:tc>
          <w:tcPr>
            <w:tcW w:w="2410"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包含内容</w:t>
            </w:r>
          </w:p>
        </w:tc>
        <w:tc>
          <w:tcPr>
            <w:tcW w:w="1842"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比选申请人承诺是否响应比选文件要求</w:t>
            </w:r>
          </w:p>
        </w:tc>
        <w:tc>
          <w:tcPr>
            <w:tcW w:w="1003"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备注</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9049" w:type="dxa"/>
            <w:gridSpan w:val="5"/>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第二章</w:t>
            </w:r>
            <w:r>
              <w:rPr>
                <w:rFonts w:ascii="宋体" w:hAnsi="宋体"/>
                <w:color w:val="000000" w:themeColor="text1"/>
                <w:highlight w:val="none"/>
                <w14:textFill>
                  <w14:solidFill>
                    <w14:schemeClr w14:val="tx1"/>
                  </w14:solidFill>
                </w14:textFill>
              </w:rPr>
              <w:t> </w:t>
            </w:r>
            <w:r>
              <w:rPr>
                <w:rFonts w:hint="eastAsia" w:ascii="宋体" w:hAnsi="宋体"/>
                <w:color w:val="000000" w:themeColor="text1"/>
                <w:highlight w:val="none"/>
                <w14:textFill>
                  <w14:solidFill>
                    <w14:schemeClr w14:val="tx1"/>
                  </w14:solidFill>
                </w14:textFill>
              </w:rPr>
              <w:t>比选申请须知</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1</w:t>
            </w:r>
          </w:p>
        </w:tc>
        <w:tc>
          <w:tcPr>
            <w:tcW w:w="297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比选申请须知前附表</w:t>
            </w:r>
          </w:p>
        </w:tc>
        <w:tc>
          <w:tcPr>
            <w:tcW w:w="2410"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完全响应</w:t>
            </w:r>
          </w:p>
        </w:tc>
        <w:tc>
          <w:tcPr>
            <w:tcW w:w="1003"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2</w:t>
            </w:r>
          </w:p>
        </w:tc>
        <w:tc>
          <w:tcPr>
            <w:tcW w:w="297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比选申请须知正文</w:t>
            </w:r>
          </w:p>
        </w:tc>
        <w:tc>
          <w:tcPr>
            <w:tcW w:w="2410"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完全响应</w:t>
            </w:r>
          </w:p>
        </w:tc>
        <w:tc>
          <w:tcPr>
            <w:tcW w:w="1003"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9049" w:type="dxa"/>
            <w:gridSpan w:val="5"/>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第三章</w:t>
            </w:r>
            <w:r>
              <w:rPr>
                <w:rFonts w:ascii="宋体" w:hAnsi="宋体"/>
                <w:color w:val="000000" w:themeColor="text1"/>
                <w:highlight w:val="none"/>
                <w14:textFill>
                  <w14:solidFill>
                    <w14:schemeClr w14:val="tx1"/>
                  </w14:solidFill>
                </w14:textFill>
              </w:rPr>
              <w:t> </w:t>
            </w:r>
            <w:r>
              <w:rPr>
                <w:rFonts w:hint="eastAsia" w:ascii="宋体" w:hAnsi="宋体"/>
                <w:color w:val="000000" w:themeColor="text1"/>
                <w:highlight w:val="none"/>
                <w14:textFill>
                  <w14:solidFill>
                    <w14:schemeClr w14:val="tx1"/>
                  </w14:solidFill>
                </w14:textFill>
              </w:rPr>
              <w:t>合同条款</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1</w:t>
            </w:r>
          </w:p>
        </w:tc>
        <w:tc>
          <w:tcPr>
            <w:tcW w:w="297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合同协议书</w:t>
            </w:r>
          </w:p>
        </w:tc>
        <w:tc>
          <w:tcPr>
            <w:tcW w:w="2410"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完全响应</w:t>
            </w:r>
          </w:p>
        </w:tc>
        <w:tc>
          <w:tcPr>
            <w:tcW w:w="1003"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2</w:t>
            </w:r>
          </w:p>
        </w:tc>
        <w:tc>
          <w:tcPr>
            <w:tcW w:w="297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合同条款</w:t>
            </w:r>
          </w:p>
        </w:tc>
        <w:tc>
          <w:tcPr>
            <w:tcW w:w="2410"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完全响应</w:t>
            </w:r>
          </w:p>
        </w:tc>
        <w:tc>
          <w:tcPr>
            <w:tcW w:w="1003"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p>
        </w:tc>
      </w:tr>
    </w:tbl>
    <w:p>
      <w:pPr>
        <w:snapToGrid w:val="0"/>
        <w:spacing w:after="50"/>
        <w:ind w:right="-57" w:firstLine="0"/>
        <w:rPr>
          <w:rFonts w:ascii="宋体" w:hAnsi="宋体"/>
          <w:color w:val="000000" w:themeColor="text1"/>
          <w:spacing w:val="20"/>
          <w:sz w:val="24"/>
          <w:szCs w:val="24"/>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注：上述响应要求必须全部为“完全响应”，否则，比选申请人将不能通过符合性评审。</w:t>
      </w:r>
    </w:p>
    <w:p>
      <w:pPr>
        <w:snapToGrid w:val="0"/>
        <w:spacing w:after="50"/>
        <w:ind w:right="-57" w:firstLine="0"/>
        <w:rPr>
          <w:rFonts w:ascii="宋体" w:hAnsi="宋体"/>
          <w:color w:val="000000" w:themeColor="text1"/>
          <w:spacing w:val="20"/>
          <w:sz w:val="24"/>
          <w:szCs w:val="24"/>
          <w:highlight w:val="none"/>
          <w14:textFill>
            <w14:solidFill>
              <w14:schemeClr w14:val="tx1"/>
            </w14:solidFill>
          </w14:textFill>
        </w:rPr>
      </w:pPr>
    </w:p>
    <w:p>
      <w:pPr>
        <w:snapToGrid w:val="0"/>
        <w:spacing w:after="50" w:line="280" w:lineRule="exact"/>
        <w:ind w:left="953" w:right="-817" w:firstLine="1443"/>
        <w:rPr>
          <w:rFonts w:ascii="宋体" w:hAnsi="宋体"/>
          <w:color w:val="000000" w:themeColor="text1"/>
          <w:sz w:val="24"/>
          <w:szCs w:val="24"/>
          <w:highlight w:val="none"/>
          <w14:textFill>
            <w14:solidFill>
              <w14:schemeClr w14:val="tx1"/>
            </w14:solidFill>
          </w14:textFill>
        </w:rPr>
      </w:pPr>
    </w:p>
    <w:p>
      <w:pPr>
        <w:snapToGrid w:val="0"/>
        <w:spacing w:after="50" w:line="280" w:lineRule="exact"/>
        <w:ind w:left="955" w:right="-817" w:firstLine="2835" w:firstLineChars="1350"/>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比选申请人名称（盖章）：</w:t>
      </w:r>
    </w:p>
    <w:p>
      <w:pPr>
        <w:snapToGrid w:val="0"/>
        <w:spacing w:after="50" w:line="280" w:lineRule="exact"/>
        <w:ind w:left="707" w:right="-817" w:firstLine="0"/>
        <w:jc w:val="center"/>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 xml:space="preserve"> 法定代表人或被授权人（签字）：</w:t>
      </w:r>
    </w:p>
    <w:p>
      <w:pPr>
        <w:spacing w:before="0"/>
        <w:ind w:right="-57"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日期：年月日</w:t>
      </w:r>
    </w:p>
    <w:p>
      <w:pPr>
        <w:spacing w:before="0"/>
        <w:ind w:left="105" w:leftChars="50" w:right="-57" w:firstLine="316" w:firstLineChars="150"/>
        <w:rPr>
          <w:rFonts w:ascii="宋体" w:hAnsi="宋体"/>
          <w:b/>
          <w:color w:val="000000" w:themeColor="text1"/>
          <w:highlight w:val="none"/>
          <w14:textFill>
            <w14:solidFill>
              <w14:schemeClr w14:val="tx1"/>
            </w14:solidFill>
          </w14:textFill>
        </w:rPr>
      </w:pPr>
    </w:p>
    <w:p>
      <w:pPr>
        <w:spacing w:before="0" w:after="0" w:afterAutospacing="0" w:line="240" w:lineRule="auto"/>
        <w:ind w:left="0" w:right="0" w:firstLine="0"/>
        <w:jc w:val="left"/>
        <w:rPr>
          <w:rFonts w:ascii="宋体" w:hAnsi="宋体"/>
          <w:color w:val="000000" w:themeColor="text1"/>
          <w:highlight w:val="none"/>
          <w14:textFill>
            <w14:solidFill>
              <w14:schemeClr w14:val="tx1"/>
            </w14:solidFill>
          </w14:textFill>
        </w:rPr>
        <w:sectPr>
          <w:pgSz w:w="12240" w:h="15840"/>
          <w:pgMar w:top="1440" w:right="1800" w:bottom="1440" w:left="1800" w:header="720" w:footer="720" w:gutter="0"/>
          <w:cols w:space="720" w:num="1"/>
        </w:sectPr>
      </w:pPr>
      <w:bookmarkStart w:id="1406" w:name="_Toc114134673"/>
      <w:bookmarkStart w:id="1407" w:name="_Toc13941"/>
      <w:bookmarkStart w:id="1408" w:name="_Toc16754"/>
      <w:bookmarkStart w:id="1409" w:name="_Toc25750688"/>
      <w:bookmarkStart w:id="1410" w:name="_Toc492478835"/>
      <w:bookmarkStart w:id="1411" w:name="_Toc21321"/>
      <w:bookmarkStart w:id="1412" w:name="_Toc14566"/>
      <w:bookmarkStart w:id="1413" w:name="_Toc31681"/>
      <w:bookmarkStart w:id="1414" w:name="_Toc5010"/>
      <w:bookmarkStart w:id="1415" w:name="_Toc25061"/>
      <w:bookmarkStart w:id="1416" w:name="_Toc26409"/>
      <w:bookmarkStart w:id="1417" w:name="_Toc28135"/>
      <w:bookmarkStart w:id="1418" w:name="_Toc6337"/>
      <w:bookmarkStart w:id="1419" w:name="_Toc28535"/>
      <w:bookmarkStart w:id="1420" w:name="_Toc6454"/>
      <w:bookmarkStart w:id="1421" w:name="_Toc328"/>
      <w:bookmarkStart w:id="1422" w:name="_Toc12695"/>
      <w:bookmarkStart w:id="1423" w:name="_Toc9597"/>
      <w:bookmarkStart w:id="1424" w:name="_Toc30897"/>
      <w:bookmarkStart w:id="1425" w:name="_Toc20298"/>
    </w:p>
    <w:p>
      <w:pPr>
        <w:pStyle w:val="3"/>
        <w:tabs>
          <w:tab w:val="left" w:pos="567"/>
          <w:tab w:val="left" w:pos="720"/>
        </w:tabs>
        <w:snapToGrid w:val="0"/>
        <w:spacing w:before="120" w:after="0" w:line="360" w:lineRule="auto"/>
        <w:ind w:right="-57"/>
        <w:jc w:val="left"/>
        <w:rPr>
          <w:b/>
          <w:bCs/>
          <w:color w:val="000000" w:themeColor="text1"/>
          <w:sz w:val="24"/>
          <w:szCs w:val="24"/>
          <w:highlight w:val="none"/>
          <w14:textFill>
            <w14:solidFill>
              <w14:schemeClr w14:val="tx1"/>
            </w14:solidFill>
          </w14:textFill>
        </w:rPr>
      </w:pPr>
      <w:bookmarkStart w:id="1426" w:name="_Toc6884"/>
      <w:bookmarkStart w:id="1427" w:name="_Toc8068"/>
      <w:r>
        <w:rPr>
          <w:rFonts w:hint="eastAsia" w:ascii="宋体" w:hAnsi="宋体" w:eastAsia="宋体"/>
          <w:color w:val="000000" w:themeColor="text1"/>
          <w:sz w:val="21"/>
          <w:szCs w:val="21"/>
          <w:highlight w:val="none"/>
          <w14:textFill>
            <w14:solidFill>
              <w14:schemeClr w14:val="tx1"/>
            </w14:solidFill>
          </w14:textFill>
        </w:rPr>
        <w:t xml:space="preserve">C3 </w:t>
      </w:r>
      <w:bookmarkEnd w:id="1406"/>
      <w:bookmarkEnd w:id="1426"/>
      <w:bookmarkEnd w:id="1427"/>
      <w:r>
        <w:rPr>
          <w:rFonts w:hint="eastAsia" w:ascii="宋体" w:hAnsi="宋体" w:eastAsia="宋体"/>
          <w:color w:val="000000" w:themeColor="text1"/>
          <w:sz w:val="21"/>
          <w:szCs w:val="21"/>
          <w:highlight w:val="none"/>
          <w14:textFill>
            <w14:solidFill>
              <w14:schemeClr w14:val="tx1"/>
            </w14:solidFill>
          </w14:textFill>
        </w:rPr>
        <w:t>拟投入人员配置表（格式）</w:t>
      </w:r>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9"/>
        <w:gridCol w:w="1088"/>
        <w:gridCol w:w="962"/>
        <w:gridCol w:w="1000"/>
        <w:gridCol w:w="1050"/>
        <w:gridCol w:w="1063"/>
        <w:gridCol w:w="1050"/>
        <w:gridCol w:w="1200"/>
        <w:gridCol w:w="12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pPr>
              <w:pStyle w:val="32"/>
              <w:ind w:left="0" w:leftChars="0" w:firstLine="0" w:firstLineChars="0"/>
              <w:jc w:val="center"/>
              <w:rPr>
                <w:rFonts w:eastAsia="宋体"/>
                <w:b/>
                <w:bCs/>
                <w:color w:val="000000" w:themeColor="text1"/>
                <w:sz w:val="22"/>
                <w:szCs w:val="22"/>
                <w:highlight w:val="none"/>
                <w14:textFill>
                  <w14:solidFill>
                    <w14:schemeClr w14:val="tx1"/>
                  </w14:solidFill>
                </w14:textFill>
              </w:rPr>
            </w:pPr>
            <w:r>
              <w:rPr>
                <w:rFonts w:hint="eastAsia" w:eastAsia="宋体"/>
                <w:b/>
                <w:bCs/>
                <w:color w:val="000000" w:themeColor="text1"/>
                <w:sz w:val="22"/>
                <w:szCs w:val="22"/>
                <w:highlight w:val="none"/>
                <w14:textFill>
                  <w14:solidFill>
                    <w14:schemeClr w14:val="tx1"/>
                  </w14:solidFill>
                </w14:textFill>
              </w:rPr>
              <w:t>序号</w:t>
            </w:r>
          </w:p>
        </w:tc>
        <w:tc>
          <w:tcPr>
            <w:tcW w:w="1088" w:type="dxa"/>
          </w:tcPr>
          <w:p>
            <w:pPr>
              <w:pStyle w:val="32"/>
              <w:ind w:left="0" w:leftChars="0" w:firstLine="0" w:firstLineChars="0"/>
              <w:jc w:val="center"/>
              <w:rPr>
                <w:rFonts w:eastAsia="宋体"/>
                <w:b/>
                <w:bCs/>
                <w:color w:val="000000" w:themeColor="text1"/>
                <w:sz w:val="22"/>
                <w:szCs w:val="22"/>
                <w:highlight w:val="none"/>
                <w14:textFill>
                  <w14:solidFill>
                    <w14:schemeClr w14:val="tx1"/>
                  </w14:solidFill>
                </w14:textFill>
              </w:rPr>
            </w:pPr>
            <w:r>
              <w:rPr>
                <w:rFonts w:hint="eastAsia" w:eastAsia="宋体"/>
                <w:b/>
                <w:bCs/>
                <w:color w:val="000000" w:themeColor="text1"/>
                <w:sz w:val="22"/>
                <w:szCs w:val="22"/>
                <w:highlight w:val="none"/>
                <w14:textFill>
                  <w14:solidFill>
                    <w14:schemeClr w14:val="tx1"/>
                  </w14:solidFill>
                </w14:textFill>
              </w:rPr>
              <w:t>姓名</w:t>
            </w:r>
          </w:p>
        </w:tc>
        <w:tc>
          <w:tcPr>
            <w:tcW w:w="962" w:type="dxa"/>
          </w:tcPr>
          <w:p>
            <w:pPr>
              <w:pStyle w:val="32"/>
              <w:ind w:left="0" w:leftChars="0" w:firstLine="0" w:firstLineChars="0"/>
              <w:jc w:val="center"/>
              <w:rPr>
                <w:rFonts w:eastAsia="宋体"/>
                <w:b/>
                <w:bCs/>
                <w:color w:val="000000" w:themeColor="text1"/>
                <w:sz w:val="22"/>
                <w:szCs w:val="22"/>
                <w:highlight w:val="none"/>
                <w14:textFill>
                  <w14:solidFill>
                    <w14:schemeClr w14:val="tx1"/>
                  </w14:solidFill>
                </w14:textFill>
              </w:rPr>
            </w:pPr>
            <w:r>
              <w:rPr>
                <w:rFonts w:hint="eastAsia" w:eastAsia="宋体"/>
                <w:b/>
                <w:bCs/>
                <w:color w:val="000000" w:themeColor="text1"/>
                <w:sz w:val="22"/>
                <w:szCs w:val="22"/>
                <w:highlight w:val="none"/>
                <w14:textFill>
                  <w14:solidFill>
                    <w14:schemeClr w14:val="tx1"/>
                  </w14:solidFill>
                </w14:textFill>
              </w:rPr>
              <w:t>年龄</w:t>
            </w:r>
          </w:p>
        </w:tc>
        <w:tc>
          <w:tcPr>
            <w:tcW w:w="1000" w:type="dxa"/>
          </w:tcPr>
          <w:p>
            <w:pPr>
              <w:pStyle w:val="32"/>
              <w:ind w:left="0" w:leftChars="0" w:firstLine="0" w:firstLineChars="0"/>
              <w:jc w:val="center"/>
              <w:rPr>
                <w:rFonts w:eastAsia="宋体"/>
                <w:b/>
                <w:bCs/>
                <w:color w:val="000000" w:themeColor="text1"/>
                <w:sz w:val="22"/>
                <w:szCs w:val="22"/>
                <w:highlight w:val="none"/>
                <w14:textFill>
                  <w14:solidFill>
                    <w14:schemeClr w14:val="tx1"/>
                  </w14:solidFill>
                </w14:textFill>
              </w:rPr>
            </w:pPr>
            <w:r>
              <w:rPr>
                <w:rFonts w:hint="eastAsia" w:eastAsia="宋体"/>
                <w:b/>
                <w:bCs/>
                <w:color w:val="000000" w:themeColor="text1"/>
                <w:sz w:val="22"/>
                <w:szCs w:val="22"/>
                <w:highlight w:val="none"/>
                <w14:textFill>
                  <w14:solidFill>
                    <w14:schemeClr w14:val="tx1"/>
                  </w14:solidFill>
                </w14:textFill>
              </w:rPr>
              <w:t>性别</w:t>
            </w:r>
          </w:p>
        </w:tc>
        <w:tc>
          <w:tcPr>
            <w:tcW w:w="1050" w:type="dxa"/>
          </w:tcPr>
          <w:p>
            <w:pPr>
              <w:pStyle w:val="32"/>
              <w:ind w:left="0" w:leftChars="0" w:firstLine="0" w:firstLineChars="0"/>
              <w:jc w:val="center"/>
              <w:rPr>
                <w:rFonts w:eastAsia="宋体"/>
                <w:b/>
                <w:bCs/>
                <w:color w:val="000000" w:themeColor="text1"/>
                <w:sz w:val="22"/>
                <w:szCs w:val="22"/>
                <w:highlight w:val="none"/>
                <w14:textFill>
                  <w14:solidFill>
                    <w14:schemeClr w14:val="tx1"/>
                  </w14:solidFill>
                </w14:textFill>
              </w:rPr>
            </w:pPr>
            <w:r>
              <w:rPr>
                <w:rFonts w:hint="eastAsia" w:eastAsia="宋体"/>
                <w:b/>
                <w:bCs/>
                <w:color w:val="000000" w:themeColor="text1"/>
                <w:sz w:val="22"/>
                <w:szCs w:val="22"/>
                <w:highlight w:val="none"/>
                <w14:textFill>
                  <w14:solidFill>
                    <w14:schemeClr w14:val="tx1"/>
                  </w14:solidFill>
                </w14:textFill>
              </w:rPr>
              <w:t>学历</w:t>
            </w:r>
          </w:p>
        </w:tc>
        <w:tc>
          <w:tcPr>
            <w:tcW w:w="1063" w:type="dxa"/>
          </w:tcPr>
          <w:p>
            <w:pPr>
              <w:pStyle w:val="32"/>
              <w:ind w:left="0" w:leftChars="0" w:firstLine="0" w:firstLineChars="0"/>
              <w:jc w:val="center"/>
              <w:rPr>
                <w:rFonts w:eastAsia="宋体"/>
                <w:b/>
                <w:bCs/>
                <w:color w:val="000000" w:themeColor="text1"/>
                <w:sz w:val="22"/>
                <w:szCs w:val="22"/>
                <w:highlight w:val="none"/>
                <w14:textFill>
                  <w14:solidFill>
                    <w14:schemeClr w14:val="tx1"/>
                  </w14:solidFill>
                </w14:textFill>
              </w:rPr>
            </w:pPr>
            <w:r>
              <w:rPr>
                <w:rFonts w:hint="eastAsia" w:eastAsia="宋体"/>
                <w:b/>
                <w:bCs/>
                <w:color w:val="000000" w:themeColor="text1"/>
                <w:sz w:val="22"/>
                <w:szCs w:val="22"/>
                <w:highlight w:val="none"/>
                <w14:textFill>
                  <w14:solidFill>
                    <w14:schemeClr w14:val="tx1"/>
                  </w14:solidFill>
                </w14:textFill>
              </w:rPr>
              <w:t>职称</w:t>
            </w:r>
          </w:p>
        </w:tc>
        <w:tc>
          <w:tcPr>
            <w:tcW w:w="1050" w:type="dxa"/>
          </w:tcPr>
          <w:p>
            <w:pPr>
              <w:pStyle w:val="32"/>
              <w:ind w:left="0" w:leftChars="0" w:firstLine="0" w:firstLineChars="0"/>
              <w:jc w:val="center"/>
              <w:rPr>
                <w:rFonts w:eastAsia="宋体"/>
                <w:b/>
                <w:bCs/>
                <w:color w:val="000000" w:themeColor="text1"/>
                <w:sz w:val="22"/>
                <w:szCs w:val="22"/>
                <w:highlight w:val="none"/>
                <w14:textFill>
                  <w14:solidFill>
                    <w14:schemeClr w14:val="tx1"/>
                  </w14:solidFill>
                </w14:textFill>
              </w:rPr>
            </w:pPr>
            <w:r>
              <w:rPr>
                <w:rFonts w:hint="eastAsia" w:eastAsia="宋体"/>
                <w:b/>
                <w:bCs/>
                <w:color w:val="000000" w:themeColor="text1"/>
                <w:sz w:val="22"/>
                <w:szCs w:val="22"/>
                <w:highlight w:val="none"/>
                <w14:textFill>
                  <w14:solidFill>
                    <w14:schemeClr w14:val="tx1"/>
                  </w14:solidFill>
                </w14:textFill>
              </w:rPr>
              <w:t>相关证书</w:t>
            </w:r>
          </w:p>
        </w:tc>
        <w:tc>
          <w:tcPr>
            <w:tcW w:w="1200" w:type="dxa"/>
          </w:tcPr>
          <w:p>
            <w:pPr>
              <w:pStyle w:val="32"/>
              <w:ind w:left="0" w:leftChars="0" w:firstLine="0" w:firstLineChars="0"/>
              <w:jc w:val="center"/>
              <w:rPr>
                <w:rFonts w:eastAsia="宋体"/>
                <w:b/>
                <w:bCs/>
                <w:color w:val="000000" w:themeColor="text1"/>
                <w:sz w:val="22"/>
                <w:szCs w:val="22"/>
                <w:highlight w:val="none"/>
                <w14:textFill>
                  <w14:solidFill>
                    <w14:schemeClr w14:val="tx1"/>
                  </w14:solidFill>
                </w14:textFill>
              </w:rPr>
            </w:pPr>
            <w:r>
              <w:rPr>
                <w:rFonts w:hint="eastAsia" w:eastAsia="宋体"/>
                <w:b/>
                <w:bCs/>
                <w:color w:val="000000" w:themeColor="text1"/>
                <w:sz w:val="22"/>
                <w:szCs w:val="22"/>
                <w:highlight w:val="none"/>
                <w14:textFill>
                  <w14:solidFill>
                    <w14:schemeClr w14:val="tx1"/>
                  </w14:solidFill>
                </w14:textFill>
              </w:rPr>
              <w:t>工作职责分工</w:t>
            </w:r>
          </w:p>
        </w:tc>
        <w:tc>
          <w:tcPr>
            <w:tcW w:w="1243" w:type="dxa"/>
          </w:tcPr>
          <w:p>
            <w:pPr>
              <w:pStyle w:val="32"/>
              <w:ind w:left="0" w:leftChars="0" w:firstLine="0" w:firstLineChars="0"/>
              <w:jc w:val="center"/>
              <w:rPr>
                <w:rFonts w:eastAsia="宋体"/>
                <w:b/>
                <w:bCs/>
                <w:color w:val="000000" w:themeColor="text1"/>
                <w:sz w:val="22"/>
                <w:szCs w:val="22"/>
                <w:highlight w:val="none"/>
                <w14:textFill>
                  <w14:solidFill>
                    <w14:schemeClr w14:val="tx1"/>
                  </w14:solidFill>
                </w14:textFill>
              </w:rPr>
            </w:pPr>
            <w:r>
              <w:rPr>
                <w:rFonts w:hint="eastAsia" w:eastAsia="宋体"/>
                <w:b/>
                <w:bCs/>
                <w:color w:val="000000" w:themeColor="text1"/>
                <w:sz w:val="22"/>
                <w:szCs w:val="22"/>
                <w:highlight w:val="none"/>
                <w14:textFill>
                  <w14:solidFill>
                    <w14:schemeClr w14:val="tx1"/>
                  </w14:solidFill>
                </w14:textFill>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pPr>
              <w:pStyle w:val="32"/>
              <w:ind w:firstLine="482"/>
              <w:rPr>
                <w:b/>
                <w:bCs/>
                <w:color w:val="000000" w:themeColor="text1"/>
                <w:szCs w:val="24"/>
                <w:highlight w:val="none"/>
                <w14:textFill>
                  <w14:solidFill>
                    <w14:schemeClr w14:val="tx1"/>
                  </w14:solidFill>
                </w14:textFill>
              </w:rPr>
            </w:pPr>
          </w:p>
        </w:tc>
        <w:tc>
          <w:tcPr>
            <w:tcW w:w="1088" w:type="dxa"/>
          </w:tcPr>
          <w:p>
            <w:pPr>
              <w:pStyle w:val="32"/>
              <w:ind w:firstLine="482"/>
              <w:rPr>
                <w:b/>
                <w:bCs/>
                <w:color w:val="000000" w:themeColor="text1"/>
                <w:szCs w:val="24"/>
                <w:highlight w:val="none"/>
                <w14:textFill>
                  <w14:solidFill>
                    <w14:schemeClr w14:val="tx1"/>
                  </w14:solidFill>
                </w14:textFill>
              </w:rPr>
            </w:pPr>
          </w:p>
        </w:tc>
        <w:tc>
          <w:tcPr>
            <w:tcW w:w="962" w:type="dxa"/>
          </w:tcPr>
          <w:p>
            <w:pPr>
              <w:pStyle w:val="32"/>
              <w:ind w:firstLine="482"/>
              <w:rPr>
                <w:b/>
                <w:bCs/>
                <w:color w:val="000000" w:themeColor="text1"/>
                <w:szCs w:val="24"/>
                <w:highlight w:val="none"/>
                <w14:textFill>
                  <w14:solidFill>
                    <w14:schemeClr w14:val="tx1"/>
                  </w14:solidFill>
                </w14:textFill>
              </w:rPr>
            </w:pPr>
          </w:p>
        </w:tc>
        <w:tc>
          <w:tcPr>
            <w:tcW w:w="1000" w:type="dxa"/>
          </w:tcPr>
          <w:p>
            <w:pPr>
              <w:pStyle w:val="32"/>
              <w:ind w:firstLine="482"/>
              <w:rPr>
                <w:b/>
                <w:bCs/>
                <w:color w:val="000000" w:themeColor="text1"/>
                <w:szCs w:val="24"/>
                <w:highlight w:val="none"/>
                <w14:textFill>
                  <w14:solidFill>
                    <w14:schemeClr w14:val="tx1"/>
                  </w14:solidFill>
                </w14:textFill>
              </w:rPr>
            </w:pPr>
          </w:p>
        </w:tc>
        <w:tc>
          <w:tcPr>
            <w:tcW w:w="1050" w:type="dxa"/>
          </w:tcPr>
          <w:p>
            <w:pPr>
              <w:pStyle w:val="32"/>
              <w:ind w:firstLine="482"/>
              <w:rPr>
                <w:b/>
                <w:bCs/>
                <w:color w:val="000000" w:themeColor="text1"/>
                <w:szCs w:val="24"/>
                <w:highlight w:val="none"/>
                <w14:textFill>
                  <w14:solidFill>
                    <w14:schemeClr w14:val="tx1"/>
                  </w14:solidFill>
                </w14:textFill>
              </w:rPr>
            </w:pPr>
          </w:p>
        </w:tc>
        <w:tc>
          <w:tcPr>
            <w:tcW w:w="1063" w:type="dxa"/>
          </w:tcPr>
          <w:p>
            <w:pPr>
              <w:pStyle w:val="32"/>
              <w:ind w:firstLine="482"/>
              <w:rPr>
                <w:b/>
                <w:bCs/>
                <w:color w:val="000000" w:themeColor="text1"/>
                <w:szCs w:val="24"/>
                <w:highlight w:val="none"/>
                <w14:textFill>
                  <w14:solidFill>
                    <w14:schemeClr w14:val="tx1"/>
                  </w14:solidFill>
                </w14:textFill>
              </w:rPr>
            </w:pPr>
          </w:p>
        </w:tc>
        <w:tc>
          <w:tcPr>
            <w:tcW w:w="1050" w:type="dxa"/>
          </w:tcPr>
          <w:p>
            <w:pPr>
              <w:pStyle w:val="32"/>
              <w:ind w:firstLine="482"/>
              <w:rPr>
                <w:b/>
                <w:bCs/>
                <w:color w:val="000000" w:themeColor="text1"/>
                <w:szCs w:val="24"/>
                <w:highlight w:val="none"/>
                <w14:textFill>
                  <w14:solidFill>
                    <w14:schemeClr w14:val="tx1"/>
                  </w14:solidFill>
                </w14:textFill>
              </w:rPr>
            </w:pPr>
          </w:p>
        </w:tc>
        <w:tc>
          <w:tcPr>
            <w:tcW w:w="1200" w:type="dxa"/>
          </w:tcPr>
          <w:p>
            <w:pPr>
              <w:pStyle w:val="32"/>
              <w:ind w:firstLine="482"/>
              <w:rPr>
                <w:b/>
                <w:bCs/>
                <w:color w:val="000000" w:themeColor="text1"/>
                <w:szCs w:val="24"/>
                <w:highlight w:val="none"/>
                <w14:textFill>
                  <w14:solidFill>
                    <w14:schemeClr w14:val="tx1"/>
                  </w14:solidFill>
                </w14:textFill>
              </w:rPr>
            </w:pPr>
          </w:p>
        </w:tc>
        <w:tc>
          <w:tcPr>
            <w:tcW w:w="1243" w:type="dxa"/>
          </w:tcPr>
          <w:p>
            <w:pPr>
              <w:pStyle w:val="32"/>
              <w:ind w:firstLine="482"/>
              <w:rPr>
                <w:b/>
                <w:bCs/>
                <w:color w:val="000000" w:themeColor="text1"/>
                <w:szCs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pPr>
              <w:pStyle w:val="32"/>
              <w:ind w:firstLine="482"/>
              <w:rPr>
                <w:b/>
                <w:bCs/>
                <w:color w:val="000000" w:themeColor="text1"/>
                <w:szCs w:val="24"/>
                <w:highlight w:val="none"/>
                <w14:textFill>
                  <w14:solidFill>
                    <w14:schemeClr w14:val="tx1"/>
                  </w14:solidFill>
                </w14:textFill>
              </w:rPr>
            </w:pPr>
          </w:p>
        </w:tc>
        <w:tc>
          <w:tcPr>
            <w:tcW w:w="1088" w:type="dxa"/>
          </w:tcPr>
          <w:p>
            <w:pPr>
              <w:pStyle w:val="32"/>
              <w:ind w:firstLine="482"/>
              <w:rPr>
                <w:b/>
                <w:bCs/>
                <w:color w:val="000000" w:themeColor="text1"/>
                <w:szCs w:val="24"/>
                <w:highlight w:val="none"/>
                <w14:textFill>
                  <w14:solidFill>
                    <w14:schemeClr w14:val="tx1"/>
                  </w14:solidFill>
                </w14:textFill>
              </w:rPr>
            </w:pPr>
          </w:p>
        </w:tc>
        <w:tc>
          <w:tcPr>
            <w:tcW w:w="962" w:type="dxa"/>
          </w:tcPr>
          <w:p>
            <w:pPr>
              <w:pStyle w:val="32"/>
              <w:ind w:firstLine="482"/>
              <w:rPr>
                <w:b/>
                <w:bCs/>
                <w:color w:val="000000" w:themeColor="text1"/>
                <w:szCs w:val="24"/>
                <w:highlight w:val="none"/>
                <w14:textFill>
                  <w14:solidFill>
                    <w14:schemeClr w14:val="tx1"/>
                  </w14:solidFill>
                </w14:textFill>
              </w:rPr>
            </w:pPr>
          </w:p>
        </w:tc>
        <w:tc>
          <w:tcPr>
            <w:tcW w:w="1000" w:type="dxa"/>
          </w:tcPr>
          <w:p>
            <w:pPr>
              <w:pStyle w:val="32"/>
              <w:ind w:firstLine="482"/>
              <w:rPr>
                <w:b/>
                <w:bCs/>
                <w:color w:val="000000" w:themeColor="text1"/>
                <w:szCs w:val="24"/>
                <w:highlight w:val="none"/>
                <w14:textFill>
                  <w14:solidFill>
                    <w14:schemeClr w14:val="tx1"/>
                  </w14:solidFill>
                </w14:textFill>
              </w:rPr>
            </w:pPr>
          </w:p>
        </w:tc>
        <w:tc>
          <w:tcPr>
            <w:tcW w:w="1050" w:type="dxa"/>
          </w:tcPr>
          <w:p>
            <w:pPr>
              <w:pStyle w:val="32"/>
              <w:ind w:firstLine="482"/>
              <w:rPr>
                <w:b/>
                <w:bCs/>
                <w:color w:val="000000" w:themeColor="text1"/>
                <w:szCs w:val="24"/>
                <w:highlight w:val="none"/>
                <w14:textFill>
                  <w14:solidFill>
                    <w14:schemeClr w14:val="tx1"/>
                  </w14:solidFill>
                </w14:textFill>
              </w:rPr>
            </w:pPr>
          </w:p>
        </w:tc>
        <w:tc>
          <w:tcPr>
            <w:tcW w:w="1063" w:type="dxa"/>
          </w:tcPr>
          <w:p>
            <w:pPr>
              <w:pStyle w:val="32"/>
              <w:ind w:firstLine="482"/>
              <w:rPr>
                <w:b/>
                <w:bCs/>
                <w:color w:val="000000" w:themeColor="text1"/>
                <w:szCs w:val="24"/>
                <w:highlight w:val="none"/>
                <w14:textFill>
                  <w14:solidFill>
                    <w14:schemeClr w14:val="tx1"/>
                  </w14:solidFill>
                </w14:textFill>
              </w:rPr>
            </w:pPr>
          </w:p>
        </w:tc>
        <w:tc>
          <w:tcPr>
            <w:tcW w:w="1050" w:type="dxa"/>
          </w:tcPr>
          <w:p>
            <w:pPr>
              <w:pStyle w:val="32"/>
              <w:ind w:firstLine="482"/>
              <w:rPr>
                <w:b/>
                <w:bCs/>
                <w:color w:val="000000" w:themeColor="text1"/>
                <w:szCs w:val="24"/>
                <w:highlight w:val="none"/>
                <w14:textFill>
                  <w14:solidFill>
                    <w14:schemeClr w14:val="tx1"/>
                  </w14:solidFill>
                </w14:textFill>
              </w:rPr>
            </w:pPr>
          </w:p>
        </w:tc>
        <w:tc>
          <w:tcPr>
            <w:tcW w:w="1200" w:type="dxa"/>
          </w:tcPr>
          <w:p>
            <w:pPr>
              <w:pStyle w:val="32"/>
              <w:ind w:firstLine="482"/>
              <w:rPr>
                <w:b/>
                <w:bCs/>
                <w:color w:val="000000" w:themeColor="text1"/>
                <w:szCs w:val="24"/>
                <w:highlight w:val="none"/>
                <w14:textFill>
                  <w14:solidFill>
                    <w14:schemeClr w14:val="tx1"/>
                  </w14:solidFill>
                </w14:textFill>
              </w:rPr>
            </w:pPr>
          </w:p>
        </w:tc>
        <w:tc>
          <w:tcPr>
            <w:tcW w:w="1243" w:type="dxa"/>
          </w:tcPr>
          <w:p>
            <w:pPr>
              <w:pStyle w:val="32"/>
              <w:ind w:firstLine="482"/>
              <w:rPr>
                <w:b/>
                <w:bCs/>
                <w:color w:val="000000" w:themeColor="text1"/>
                <w:szCs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pPr>
              <w:pStyle w:val="32"/>
              <w:ind w:firstLine="482"/>
              <w:rPr>
                <w:b/>
                <w:bCs/>
                <w:color w:val="000000" w:themeColor="text1"/>
                <w:szCs w:val="24"/>
                <w:highlight w:val="none"/>
                <w14:textFill>
                  <w14:solidFill>
                    <w14:schemeClr w14:val="tx1"/>
                  </w14:solidFill>
                </w14:textFill>
              </w:rPr>
            </w:pPr>
          </w:p>
        </w:tc>
        <w:tc>
          <w:tcPr>
            <w:tcW w:w="1088" w:type="dxa"/>
          </w:tcPr>
          <w:p>
            <w:pPr>
              <w:pStyle w:val="32"/>
              <w:ind w:firstLine="482"/>
              <w:rPr>
                <w:b/>
                <w:bCs/>
                <w:color w:val="000000" w:themeColor="text1"/>
                <w:szCs w:val="24"/>
                <w:highlight w:val="none"/>
                <w14:textFill>
                  <w14:solidFill>
                    <w14:schemeClr w14:val="tx1"/>
                  </w14:solidFill>
                </w14:textFill>
              </w:rPr>
            </w:pPr>
          </w:p>
        </w:tc>
        <w:tc>
          <w:tcPr>
            <w:tcW w:w="962" w:type="dxa"/>
          </w:tcPr>
          <w:p>
            <w:pPr>
              <w:pStyle w:val="32"/>
              <w:ind w:firstLine="482"/>
              <w:rPr>
                <w:b/>
                <w:bCs/>
                <w:color w:val="000000" w:themeColor="text1"/>
                <w:szCs w:val="24"/>
                <w:highlight w:val="none"/>
                <w14:textFill>
                  <w14:solidFill>
                    <w14:schemeClr w14:val="tx1"/>
                  </w14:solidFill>
                </w14:textFill>
              </w:rPr>
            </w:pPr>
          </w:p>
        </w:tc>
        <w:tc>
          <w:tcPr>
            <w:tcW w:w="1000" w:type="dxa"/>
          </w:tcPr>
          <w:p>
            <w:pPr>
              <w:pStyle w:val="32"/>
              <w:ind w:firstLine="482"/>
              <w:rPr>
                <w:b/>
                <w:bCs/>
                <w:color w:val="000000" w:themeColor="text1"/>
                <w:szCs w:val="24"/>
                <w:highlight w:val="none"/>
                <w14:textFill>
                  <w14:solidFill>
                    <w14:schemeClr w14:val="tx1"/>
                  </w14:solidFill>
                </w14:textFill>
              </w:rPr>
            </w:pPr>
          </w:p>
        </w:tc>
        <w:tc>
          <w:tcPr>
            <w:tcW w:w="1050" w:type="dxa"/>
          </w:tcPr>
          <w:p>
            <w:pPr>
              <w:pStyle w:val="32"/>
              <w:ind w:firstLine="482"/>
              <w:rPr>
                <w:b/>
                <w:bCs/>
                <w:color w:val="000000" w:themeColor="text1"/>
                <w:szCs w:val="24"/>
                <w:highlight w:val="none"/>
                <w14:textFill>
                  <w14:solidFill>
                    <w14:schemeClr w14:val="tx1"/>
                  </w14:solidFill>
                </w14:textFill>
              </w:rPr>
            </w:pPr>
          </w:p>
        </w:tc>
        <w:tc>
          <w:tcPr>
            <w:tcW w:w="1063" w:type="dxa"/>
          </w:tcPr>
          <w:p>
            <w:pPr>
              <w:pStyle w:val="32"/>
              <w:ind w:firstLine="482"/>
              <w:rPr>
                <w:b/>
                <w:bCs/>
                <w:color w:val="000000" w:themeColor="text1"/>
                <w:szCs w:val="24"/>
                <w:highlight w:val="none"/>
                <w14:textFill>
                  <w14:solidFill>
                    <w14:schemeClr w14:val="tx1"/>
                  </w14:solidFill>
                </w14:textFill>
              </w:rPr>
            </w:pPr>
          </w:p>
        </w:tc>
        <w:tc>
          <w:tcPr>
            <w:tcW w:w="1050" w:type="dxa"/>
          </w:tcPr>
          <w:p>
            <w:pPr>
              <w:pStyle w:val="32"/>
              <w:ind w:firstLine="482"/>
              <w:rPr>
                <w:b/>
                <w:bCs/>
                <w:color w:val="000000" w:themeColor="text1"/>
                <w:szCs w:val="24"/>
                <w:highlight w:val="none"/>
                <w14:textFill>
                  <w14:solidFill>
                    <w14:schemeClr w14:val="tx1"/>
                  </w14:solidFill>
                </w14:textFill>
              </w:rPr>
            </w:pPr>
          </w:p>
        </w:tc>
        <w:tc>
          <w:tcPr>
            <w:tcW w:w="1200" w:type="dxa"/>
          </w:tcPr>
          <w:p>
            <w:pPr>
              <w:pStyle w:val="32"/>
              <w:ind w:firstLine="482"/>
              <w:rPr>
                <w:b/>
                <w:bCs/>
                <w:color w:val="000000" w:themeColor="text1"/>
                <w:szCs w:val="24"/>
                <w:highlight w:val="none"/>
                <w14:textFill>
                  <w14:solidFill>
                    <w14:schemeClr w14:val="tx1"/>
                  </w14:solidFill>
                </w14:textFill>
              </w:rPr>
            </w:pPr>
          </w:p>
        </w:tc>
        <w:tc>
          <w:tcPr>
            <w:tcW w:w="1243" w:type="dxa"/>
          </w:tcPr>
          <w:p>
            <w:pPr>
              <w:pStyle w:val="32"/>
              <w:ind w:firstLine="482"/>
              <w:rPr>
                <w:b/>
                <w:bCs/>
                <w:color w:val="000000" w:themeColor="text1"/>
                <w:szCs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pPr>
              <w:pStyle w:val="32"/>
              <w:ind w:firstLine="482"/>
              <w:rPr>
                <w:b/>
                <w:bCs/>
                <w:color w:val="000000" w:themeColor="text1"/>
                <w:szCs w:val="24"/>
                <w:highlight w:val="none"/>
                <w14:textFill>
                  <w14:solidFill>
                    <w14:schemeClr w14:val="tx1"/>
                  </w14:solidFill>
                </w14:textFill>
              </w:rPr>
            </w:pPr>
          </w:p>
        </w:tc>
        <w:tc>
          <w:tcPr>
            <w:tcW w:w="1088" w:type="dxa"/>
          </w:tcPr>
          <w:p>
            <w:pPr>
              <w:pStyle w:val="32"/>
              <w:ind w:firstLine="482"/>
              <w:rPr>
                <w:b/>
                <w:bCs/>
                <w:color w:val="000000" w:themeColor="text1"/>
                <w:szCs w:val="24"/>
                <w:highlight w:val="none"/>
                <w14:textFill>
                  <w14:solidFill>
                    <w14:schemeClr w14:val="tx1"/>
                  </w14:solidFill>
                </w14:textFill>
              </w:rPr>
            </w:pPr>
          </w:p>
        </w:tc>
        <w:tc>
          <w:tcPr>
            <w:tcW w:w="962" w:type="dxa"/>
          </w:tcPr>
          <w:p>
            <w:pPr>
              <w:pStyle w:val="32"/>
              <w:ind w:firstLine="482"/>
              <w:rPr>
                <w:b/>
                <w:bCs/>
                <w:color w:val="000000" w:themeColor="text1"/>
                <w:szCs w:val="24"/>
                <w:highlight w:val="none"/>
                <w14:textFill>
                  <w14:solidFill>
                    <w14:schemeClr w14:val="tx1"/>
                  </w14:solidFill>
                </w14:textFill>
              </w:rPr>
            </w:pPr>
          </w:p>
        </w:tc>
        <w:tc>
          <w:tcPr>
            <w:tcW w:w="1000" w:type="dxa"/>
          </w:tcPr>
          <w:p>
            <w:pPr>
              <w:pStyle w:val="32"/>
              <w:ind w:firstLine="482"/>
              <w:rPr>
                <w:b/>
                <w:bCs/>
                <w:color w:val="000000" w:themeColor="text1"/>
                <w:szCs w:val="24"/>
                <w:highlight w:val="none"/>
                <w14:textFill>
                  <w14:solidFill>
                    <w14:schemeClr w14:val="tx1"/>
                  </w14:solidFill>
                </w14:textFill>
              </w:rPr>
            </w:pPr>
          </w:p>
        </w:tc>
        <w:tc>
          <w:tcPr>
            <w:tcW w:w="1050" w:type="dxa"/>
          </w:tcPr>
          <w:p>
            <w:pPr>
              <w:pStyle w:val="32"/>
              <w:ind w:firstLine="482"/>
              <w:rPr>
                <w:b/>
                <w:bCs/>
                <w:color w:val="000000" w:themeColor="text1"/>
                <w:szCs w:val="24"/>
                <w:highlight w:val="none"/>
                <w14:textFill>
                  <w14:solidFill>
                    <w14:schemeClr w14:val="tx1"/>
                  </w14:solidFill>
                </w14:textFill>
              </w:rPr>
            </w:pPr>
          </w:p>
        </w:tc>
        <w:tc>
          <w:tcPr>
            <w:tcW w:w="1063" w:type="dxa"/>
          </w:tcPr>
          <w:p>
            <w:pPr>
              <w:pStyle w:val="32"/>
              <w:ind w:firstLine="482"/>
              <w:rPr>
                <w:b/>
                <w:bCs/>
                <w:color w:val="000000" w:themeColor="text1"/>
                <w:szCs w:val="24"/>
                <w:highlight w:val="none"/>
                <w14:textFill>
                  <w14:solidFill>
                    <w14:schemeClr w14:val="tx1"/>
                  </w14:solidFill>
                </w14:textFill>
              </w:rPr>
            </w:pPr>
          </w:p>
        </w:tc>
        <w:tc>
          <w:tcPr>
            <w:tcW w:w="1050" w:type="dxa"/>
          </w:tcPr>
          <w:p>
            <w:pPr>
              <w:pStyle w:val="32"/>
              <w:ind w:firstLine="482"/>
              <w:rPr>
                <w:b/>
                <w:bCs/>
                <w:color w:val="000000" w:themeColor="text1"/>
                <w:szCs w:val="24"/>
                <w:highlight w:val="none"/>
                <w14:textFill>
                  <w14:solidFill>
                    <w14:schemeClr w14:val="tx1"/>
                  </w14:solidFill>
                </w14:textFill>
              </w:rPr>
            </w:pPr>
          </w:p>
        </w:tc>
        <w:tc>
          <w:tcPr>
            <w:tcW w:w="1200" w:type="dxa"/>
          </w:tcPr>
          <w:p>
            <w:pPr>
              <w:pStyle w:val="32"/>
              <w:ind w:firstLine="482"/>
              <w:rPr>
                <w:b/>
                <w:bCs/>
                <w:color w:val="000000" w:themeColor="text1"/>
                <w:szCs w:val="24"/>
                <w:highlight w:val="none"/>
                <w14:textFill>
                  <w14:solidFill>
                    <w14:schemeClr w14:val="tx1"/>
                  </w14:solidFill>
                </w14:textFill>
              </w:rPr>
            </w:pPr>
          </w:p>
        </w:tc>
        <w:tc>
          <w:tcPr>
            <w:tcW w:w="1243" w:type="dxa"/>
          </w:tcPr>
          <w:p>
            <w:pPr>
              <w:pStyle w:val="32"/>
              <w:ind w:firstLine="482"/>
              <w:rPr>
                <w:b/>
                <w:bCs/>
                <w:color w:val="000000" w:themeColor="text1"/>
                <w:szCs w:val="24"/>
                <w:highlight w:val="none"/>
                <w14:textFill>
                  <w14:solidFill>
                    <w14:schemeClr w14:val="tx1"/>
                  </w14:solidFill>
                </w14:textFill>
              </w:rPr>
            </w:pPr>
          </w:p>
        </w:tc>
      </w:tr>
    </w:tbl>
    <w:p>
      <w:pPr>
        <w:pStyle w:val="32"/>
        <w:ind w:firstLine="482"/>
        <w:rPr>
          <w:b/>
          <w:bCs/>
          <w:color w:val="000000" w:themeColor="text1"/>
          <w:szCs w:val="24"/>
          <w:highlight w:val="none"/>
          <w14:textFill>
            <w14:solidFill>
              <w14:schemeClr w14:val="tx1"/>
            </w14:solidFill>
          </w14:textFill>
        </w:rPr>
      </w:pPr>
    </w:p>
    <w:p>
      <w:pPr>
        <w:spacing w:beforeLines="50"/>
        <w:ind w:left="755" w:leftChars="23" w:right="-57" w:rightChars="-27" w:hanging="707" w:hangingChars="337"/>
        <w:jc w:val="left"/>
        <w:rPr>
          <w:rFonts w:eastAsia="Times New Roman"/>
          <w:color w:val="000000" w:themeColor="text1"/>
          <w:sz w:val="24"/>
          <w:highlight w:val="none"/>
          <w14:textFill>
            <w14:solidFill>
              <w14:schemeClr w14:val="tx1"/>
            </w14:solidFill>
          </w14:textFill>
        </w:rPr>
      </w:pPr>
      <w:r>
        <w:rPr>
          <w:rFonts w:hint="eastAsia" w:cs="宋体"/>
          <w:color w:val="000000" w:themeColor="text1"/>
          <w:szCs w:val="18"/>
          <w:highlight w:val="none"/>
          <w:lang w:bidi="ar"/>
          <w14:textFill>
            <w14:solidFill>
              <w14:schemeClr w14:val="tx1"/>
            </w14:solidFill>
          </w14:textFill>
        </w:rPr>
        <w:t>注：</w:t>
      </w:r>
      <w:r>
        <w:rPr>
          <w:rFonts w:hint="eastAsia" w:cs="宋体"/>
          <w:color w:val="000000" w:themeColor="text1"/>
          <w:highlight w:val="none"/>
          <w:lang w:bidi="ar"/>
          <w14:textFill>
            <w14:solidFill>
              <w14:schemeClr w14:val="tx1"/>
            </w14:solidFill>
          </w14:textFill>
        </w:rPr>
        <w:t>此表应后附比选文件要求提供的相应人员资质及业绩证明文件。</w:t>
      </w:r>
    </w:p>
    <w:p>
      <w:pPr>
        <w:pStyle w:val="32"/>
        <w:ind w:firstLine="482"/>
        <w:rPr>
          <w:b/>
          <w:bCs/>
          <w:color w:val="000000" w:themeColor="text1"/>
          <w:szCs w:val="24"/>
          <w:highlight w:val="none"/>
          <w14:textFill>
            <w14:solidFill>
              <w14:schemeClr w14:val="tx1"/>
            </w14:solidFill>
          </w14:textFill>
        </w:rPr>
      </w:pPr>
    </w:p>
    <w:p>
      <w:pPr>
        <w:snapToGrid w:val="0"/>
        <w:spacing w:before="0" w:after="0" w:afterAutospacing="0" w:line="400" w:lineRule="exact"/>
        <w:ind w:left="0" w:right="0" w:firstLine="426"/>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w:t>
      </w:r>
      <w:r>
        <w:rPr>
          <w:rFonts w:ascii="宋体" w:hAnsi="宋体"/>
          <w:color w:val="000000" w:themeColor="text1"/>
          <w:highlight w:val="none"/>
          <w14:textFill>
            <w14:solidFill>
              <w14:schemeClr w14:val="tx1"/>
            </w14:solidFill>
          </w14:textFill>
        </w:rPr>
        <w:t>人</w:t>
      </w:r>
      <w:r>
        <w:rPr>
          <w:rFonts w:hint="eastAsia" w:ascii="宋体" w:hAnsi="宋体"/>
          <w:color w:val="000000" w:themeColor="text1"/>
          <w:highlight w:val="none"/>
          <w14:textFill>
            <w14:solidFill>
              <w14:schemeClr w14:val="tx1"/>
            </w14:solidFill>
          </w14:textFill>
        </w:rPr>
        <w:t>：</w:t>
      </w:r>
      <w:r>
        <w:rPr>
          <w:rFonts w:ascii="宋体" w:hAnsi="宋体"/>
          <w:color w:val="000000" w:themeColor="text1"/>
          <w:highlight w:val="none"/>
          <w:u w:val="single"/>
          <w14:textFill>
            <w14:solidFill>
              <w14:schemeClr w14:val="tx1"/>
            </w14:solidFill>
          </w14:textFill>
        </w:rPr>
        <w:t xml:space="preserve"> </w:t>
      </w:r>
      <w:r>
        <w:rPr>
          <w:rFonts w:hint="eastAsia" w:ascii="宋体" w:hAnsi="宋体" w:cs="Arial"/>
          <w:color w:val="000000" w:themeColor="text1"/>
          <w:highlight w:val="none"/>
          <w:u w:val="single"/>
          <w14:textFill>
            <w14:solidFill>
              <w14:schemeClr w14:val="tx1"/>
            </w14:solidFill>
          </w14:textFill>
        </w:rPr>
        <w:t>（填写）</w:t>
      </w:r>
      <w:r>
        <w:rPr>
          <w:rFonts w:ascii="宋体" w:hAnsi="宋体"/>
          <w:color w:val="000000" w:themeColor="text1"/>
          <w:highlight w:val="none"/>
          <w:u w:val="single"/>
          <w14:textFill>
            <w14:solidFill>
              <w14:schemeClr w14:val="tx1"/>
            </w14:solidFill>
          </w14:textFill>
        </w:rPr>
        <w:t xml:space="preserve"> (</w:t>
      </w:r>
      <w:r>
        <w:rPr>
          <w:rFonts w:hint="eastAsia" w:ascii="宋体" w:hAnsi="宋体"/>
          <w:color w:val="000000" w:themeColor="text1"/>
          <w:highlight w:val="none"/>
          <w:u w:val="single"/>
          <w14:textFill>
            <w14:solidFill>
              <w14:schemeClr w14:val="tx1"/>
            </w14:solidFill>
          </w14:textFill>
        </w:rPr>
        <w:t>盖单位公章</w:t>
      </w:r>
      <w:r>
        <w:rPr>
          <w:rFonts w:ascii="宋体" w:hAnsi="宋体"/>
          <w:color w:val="000000" w:themeColor="text1"/>
          <w:highlight w:val="none"/>
          <w:u w:val="single"/>
          <w14:textFill>
            <w14:solidFill>
              <w14:schemeClr w14:val="tx1"/>
            </w14:solidFill>
          </w14:textFill>
        </w:rPr>
        <w:t>)</w:t>
      </w:r>
    </w:p>
    <w:p>
      <w:pPr>
        <w:snapToGrid w:val="0"/>
        <w:spacing w:before="0" w:after="0" w:afterAutospacing="0" w:line="400" w:lineRule="exact"/>
        <w:ind w:left="0" w:right="0" w:firstLine="426"/>
        <w:jc w:val="center"/>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法定代表人（或委托代理人）：</w:t>
      </w:r>
      <w:r>
        <w:rPr>
          <w:rFonts w:ascii="宋体" w:hAnsi="宋体"/>
          <w:color w:val="000000" w:themeColor="text1"/>
          <w:highlight w:val="none"/>
          <w:u w:val="single"/>
          <w14:textFill>
            <w14:solidFill>
              <w14:schemeClr w14:val="tx1"/>
            </w14:solidFill>
          </w14:textFill>
        </w:rPr>
        <w:t>(签字</w:t>
      </w:r>
      <w:r>
        <w:rPr>
          <w:rFonts w:hint="eastAsia" w:ascii="宋体" w:hAnsi="宋体"/>
          <w:color w:val="000000" w:themeColor="text1"/>
          <w:highlight w:val="none"/>
          <w:u w:val="single"/>
          <w14:textFill>
            <w14:solidFill>
              <w14:schemeClr w14:val="tx1"/>
            </w14:solidFill>
          </w14:textFill>
        </w:rPr>
        <w:t>或盖章</w:t>
      </w:r>
      <w:r>
        <w:rPr>
          <w:rFonts w:ascii="宋体" w:hAnsi="宋体"/>
          <w:color w:val="000000" w:themeColor="text1"/>
          <w:highlight w:val="none"/>
          <w:u w:val="single"/>
          <w14:textFill>
            <w14:solidFill>
              <w14:schemeClr w14:val="tx1"/>
            </w14:solidFill>
          </w14:textFill>
        </w:rPr>
        <w:t>)</w:t>
      </w:r>
    </w:p>
    <w:p>
      <w:pPr>
        <w:snapToGrid w:val="0"/>
        <w:spacing w:before="0" w:after="0" w:afterAutospacing="0" w:line="400" w:lineRule="exact"/>
        <w:ind w:left="0" w:right="0" w:firstLine="426"/>
        <w:jc w:val="center"/>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日期：年</w:t>
      </w:r>
      <w:r>
        <w:rPr>
          <w:rFonts w:hint="eastAsia" w:ascii="宋体" w:hAnsi="宋体"/>
          <w:color w:val="000000" w:themeColor="text1"/>
          <w:highlight w:val="non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月</w:t>
      </w:r>
      <w:r>
        <w:rPr>
          <w:rFonts w:hint="eastAsia" w:ascii="宋体" w:hAnsi="宋体"/>
          <w:color w:val="000000" w:themeColor="text1"/>
          <w:highlight w:val="non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日</w:t>
      </w:r>
    </w:p>
    <w:p>
      <w:r>
        <w:rPr>
          <w:color w:val="000000" w:themeColor="text1"/>
          <w:highlight w:val="none"/>
          <w14:textFill>
            <w14:solidFill>
              <w14:schemeClr w14:val="tx1"/>
            </w14:solidFill>
          </w14:textFill>
        </w:rPr>
        <w:br w:type="page"/>
      </w:r>
      <w:bookmarkStart w:id="1428" w:name="_Toc114134674"/>
    </w:p>
    <w:p>
      <w:pPr>
        <w:pStyle w:val="32"/>
        <w:ind w:firstLine="480"/>
        <w:rPr>
          <w:color w:val="000000" w:themeColor="text1"/>
          <w:highlight w:val="none"/>
          <w14:textFill>
            <w14:solidFill>
              <w14:schemeClr w14:val="tx1"/>
            </w14:solidFill>
          </w14:textFill>
        </w:rPr>
      </w:pPr>
    </w:p>
    <w:p>
      <w:pPr>
        <w:pStyle w:val="3"/>
        <w:tabs>
          <w:tab w:val="left" w:pos="567"/>
          <w:tab w:val="left" w:pos="720"/>
        </w:tabs>
        <w:snapToGrid w:val="0"/>
        <w:spacing w:before="120" w:after="0" w:line="360" w:lineRule="auto"/>
        <w:ind w:left="0" w:right="-57" w:firstLine="0"/>
        <w:jc w:val="left"/>
        <w:rPr>
          <w:rFonts w:ascii="宋体" w:hAnsi="宋体" w:eastAsia="宋体"/>
          <w:color w:val="000000" w:themeColor="text1"/>
          <w:sz w:val="21"/>
          <w:szCs w:val="21"/>
          <w:highlight w:val="none"/>
          <w14:textFill>
            <w14:solidFill>
              <w14:schemeClr w14:val="tx1"/>
            </w14:solidFill>
          </w14:textFill>
        </w:rPr>
      </w:pPr>
      <w:bookmarkStart w:id="1429" w:name="_Toc28339"/>
      <w:bookmarkStart w:id="1430" w:name="_Toc20577"/>
      <w:r>
        <w:rPr>
          <w:rFonts w:hint="eastAsia" w:ascii="宋体" w:hAnsi="宋体" w:eastAsia="宋体"/>
          <w:color w:val="000000" w:themeColor="text1"/>
          <w:sz w:val="21"/>
          <w:szCs w:val="21"/>
          <w:highlight w:val="none"/>
          <w14:textFill>
            <w14:solidFill>
              <w14:schemeClr w14:val="tx1"/>
            </w14:solidFill>
          </w14:textFill>
        </w:rPr>
        <w:t>C</w:t>
      </w:r>
      <w:r>
        <w:rPr>
          <w:rFonts w:hint="eastAsia" w:ascii="宋体" w:hAnsi="宋体" w:eastAsia="宋体"/>
          <w:color w:val="000000" w:themeColor="text1"/>
          <w:sz w:val="21"/>
          <w:szCs w:val="21"/>
          <w:highlight w:val="none"/>
          <w:lang w:val="en-US" w:eastAsia="zh-CN"/>
          <w14:textFill>
            <w14:solidFill>
              <w14:schemeClr w14:val="tx1"/>
            </w14:solidFill>
          </w14:textFill>
        </w:rPr>
        <w:t>4</w:t>
      </w:r>
      <w:r>
        <w:rPr>
          <w:rFonts w:hint="eastAsia" w:ascii="宋体" w:hAnsi="宋体" w:eastAsia="宋体"/>
          <w:color w:val="000000" w:themeColor="text1"/>
          <w:sz w:val="21"/>
          <w:szCs w:val="21"/>
          <w:highlight w:val="none"/>
          <w:lang w:eastAsia="zh-CN"/>
          <w14:textFill>
            <w14:solidFill>
              <w14:schemeClr w14:val="tx1"/>
            </w14:solidFill>
          </w14:textFill>
        </w:rPr>
        <w:t>服务建议书</w:t>
      </w:r>
      <w:r>
        <w:rPr>
          <w:rFonts w:hint="eastAsia" w:ascii="宋体" w:hAnsi="宋体" w:eastAsia="宋体"/>
          <w:color w:val="000000" w:themeColor="text1"/>
          <w:sz w:val="21"/>
          <w:szCs w:val="21"/>
          <w:highlight w:val="none"/>
          <w14:textFill>
            <w14:solidFill>
              <w14:schemeClr w14:val="tx1"/>
            </w14:solidFill>
          </w14:textFill>
        </w:rPr>
        <w:t>（格式自拟）</w:t>
      </w:r>
      <w:bookmarkEnd w:id="1429"/>
      <w:bookmarkEnd w:id="1430"/>
    </w:p>
    <w:p>
      <w:pPr>
        <w:rPr>
          <w:rFonts w:hint="eastAsia" w:eastAsia="宋体"/>
          <w:color w:val="000000" w:themeColor="text1"/>
          <w:highlight w:val="none"/>
          <w:lang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包含不限于设计服务方案、服务响应方案等</w:t>
      </w:r>
      <w:r>
        <w:rPr>
          <w:rFonts w:hint="eastAsia"/>
          <w:color w:val="000000" w:themeColor="text1"/>
          <w:highlight w:val="none"/>
          <w:lang w:eastAsia="zh-CN"/>
          <w14:textFill>
            <w14:solidFill>
              <w14:schemeClr w14:val="tx1"/>
            </w14:solidFill>
          </w14:textFill>
        </w:rPr>
        <w:t>）</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p>
    <w:p>
      <w:pPr>
        <w:pStyle w:val="32"/>
        <w:ind w:firstLine="480"/>
        <w:jc w:val="center"/>
        <w:rPr>
          <w:color w:val="000000" w:themeColor="text1"/>
          <w:highlight w:val="none"/>
          <w14:textFill>
            <w14:solidFill>
              <w14:schemeClr w14:val="tx1"/>
            </w14:solidFill>
          </w14:textFill>
        </w:rPr>
      </w:pPr>
    </w:p>
    <w:p>
      <w:pPr>
        <w:pStyle w:val="3"/>
        <w:tabs>
          <w:tab w:val="left" w:pos="567"/>
          <w:tab w:val="left" w:pos="720"/>
        </w:tabs>
        <w:snapToGrid w:val="0"/>
        <w:spacing w:before="120" w:after="0" w:line="360" w:lineRule="auto"/>
        <w:ind w:left="0" w:right="-57" w:firstLine="0"/>
        <w:jc w:val="left"/>
        <w:rPr>
          <w:rFonts w:ascii="宋体" w:hAnsi="宋体" w:eastAsia="宋体"/>
          <w:color w:val="000000" w:themeColor="text1"/>
          <w:sz w:val="21"/>
          <w:szCs w:val="21"/>
          <w:highlight w:val="none"/>
          <w14:textFill>
            <w14:solidFill>
              <w14:schemeClr w14:val="tx1"/>
            </w14:solidFill>
          </w14:textFill>
        </w:rPr>
      </w:pPr>
      <w:bookmarkStart w:id="1431" w:name="_Toc16657"/>
      <w:r>
        <w:rPr>
          <w:rFonts w:hint="eastAsia" w:ascii="宋体" w:hAnsi="宋体" w:eastAsia="宋体"/>
          <w:color w:val="000000" w:themeColor="text1"/>
          <w:sz w:val="21"/>
          <w:szCs w:val="21"/>
          <w:highlight w:val="none"/>
          <w14:textFill>
            <w14:solidFill>
              <w14:schemeClr w14:val="tx1"/>
            </w14:solidFill>
          </w14:textFill>
        </w:rPr>
        <w:t>C</w:t>
      </w:r>
      <w:r>
        <w:rPr>
          <w:rFonts w:hint="eastAsia" w:ascii="宋体" w:hAnsi="宋体" w:eastAsia="宋体"/>
          <w:color w:val="000000" w:themeColor="text1"/>
          <w:sz w:val="21"/>
          <w:szCs w:val="21"/>
          <w:highlight w:val="none"/>
          <w:lang w:val="en-US" w:eastAsia="zh-CN"/>
          <w14:textFill>
            <w14:solidFill>
              <w14:schemeClr w14:val="tx1"/>
            </w14:solidFill>
          </w14:textFill>
        </w:rPr>
        <w:t>5</w:t>
      </w:r>
      <w:r>
        <w:rPr>
          <w:rFonts w:hint="eastAsia" w:ascii="宋体" w:hAnsi="宋体" w:eastAsia="宋体"/>
          <w:color w:val="000000" w:themeColor="text1"/>
          <w:sz w:val="21"/>
          <w:szCs w:val="21"/>
          <w:highlight w:val="none"/>
          <w14:textFill>
            <w14:solidFill>
              <w14:schemeClr w14:val="tx1"/>
            </w14:solidFill>
          </w14:textFill>
        </w:rPr>
        <w:t>业绩表</w:t>
      </w:r>
      <w:bookmarkEnd w:id="1428"/>
      <w:bookmarkEnd w:id="1431"/>
    </w:p>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Pr>
        <w:spacing w:before="0"/>
        <w:ind w:right="-57" w:firstLine="0"/>
        <w:jc w:val="center"/>
        <w:rPr>
          <w:rFonts w:ascii="宋体" w:hAnsi="宋体"/>
          <w:b/>
          <w:color w:val="000000" w:themeColor="text1"/>
          <w:spacing w:val="20"/>
          <w:highlight w:val="none"/>
          <w14:textFill>
            <w14:solidFill>
              <w14:schemeClr w14:val="tx1"/>
            </w14:solidFill>
          </w14:textFill>
        </w:rPr>
      </w:pPr>
      <w:bookmarkStart w:id="1432" w:name="_Toc1777"/>
      <w:bookmarkStart w:id="1433" w:name="_Toc3174"/>
      <w:bookmarkStart w:id="1434" w:name="_Toc14104"/>
      <w:bookmarkStart w:id="1435" w:name="_Toc6090"/>
      <w:bookmarkStart w:id="1436" w:name="_Toc4284"/>
      <w:bookmarkStart w:id="1437" w:name="_Toc5008"/>
      <w:bookmarkStart w:id="1438" w:name="_Toc14738"/>
      <w:bookmarkStart w:id="1439" w:name="_Toc9329"/>
      <w:bookmarkStart w:id="1440" w:name="_Toc3551"/>
      <w:bookmarkStart w:id="1441" w:name="_Toc26286"/>
      <w:bookmarkStart w:id="1442" w:name="_Toc531"/>
      <w:bookmarkStart w:id="1443" w:name="_Toc147"/>
      <w:bookmarkStart w:id="1444" w:name="_Toc21231"/>
      <w:bookmarkStart w:id="1445" w:name="_Toc17186"/>
      <w:bookmarkStart w:id="1446" w:name="_Toc25908"/>
      <w:bookmarkStart w:id="1447" w:name="_Toc22547"/>
      <w:bookmarkStart w:id="1448" w:name="_Toc1104"/>
      <w:r>
        <w:rPr>
          <w:rFonts w:hint="eastAsia" w:ascii="宋体" w:hAnsi="宋体"/>
          <w:b/>
          <w:color w:val="000000" w:themeColor="text1"/>
          <w:spacing w:val="20"/>
          <w:highlight w:val="none"/>
          <w14:textFill>
            <w14:solidFill>
              <w14:schemeClr w14:val="tx1"/>
            </w14:solidFill>
          </w14:textFill>
        </w:rPr>
        <w:t>类似项目</w:t>
      </w:r>
      <w:r>
        <w:rPr>
          <w:rFonts w:ascii="宋体" w:hAnsi="宋体"/>
          <w:b/>
          <w:color w:val="000000" w:themeColor="text1"/>
          <w:spacing w:val="20"/>
          <w:highlight w:val="none"/>
          <w14:textFill>
            <w14:solidFill>
              <w14:schemeClr w14:val="tx1"/>
            </w14:solidFill>
          </w14:textFill>
        </w:rPr>
        <w:t>业绩表</w:t>
      </w:r>
    </w:p>
    <w:tbl>
      <w:tblPr>
        <w:tblStyle w:val="35"/>
        <w:tblW w:w="9932" w:type="dxa"/>
        <w:jc w:val="center"/>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fixed"/>
        <w:tblCellMar>
          <w:top w:w="0" w:type="dxa"/>
          <w:left w:w="108" w:type="dxa"/>
          <w:bottom w:w="0" w:type="dxa"/>
          <w:right w:w="108" w:type="dxa"/>
        </w:tblCellMar>
      </w:tblPr>
      <w:tblGrid>
        <w:gridCol w:w="599"/>
        <w:gridCol w:w="1092"/>
        <w:gridCol w:w="1789"/>
        <w:gridCol w:w="992"/>
        <w:gridCol w:w="992"/>
        <w:gridCol w:w="993"/>
        <w:gridCol w:w="1388"/>
        <w:gridCol w:w="1044"/>
        <w:gridCol w:w="1043"/>
      </w:tblGrid>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440" w:hRule="atLeast"/>
          <w:jc w:val="center"/>
        </w:trPr>
        <w:tc>
          <w:tcPr>
            <w:tcW w:w="599" w:type="dxa"/>
            <w:tcBorders>
              <w:top w:val="doub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序号</w:t>
            </w:r>
          </w:p>
        </w:tc>
        <w:tc>
          <w:tcPr>
            <w:tcW w:w="1092" w:type="dxa"/>
            <w:tcBorders>
              <w:top w:val="doub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项目名称</w:t>
            </w:r>
          </w:p>
        </w:tc>
        <w:tc>
          <w:tcPr>
            <w:tcW w:w="1789" w:type="dxa"/>
            <w:tcBorders>
              <w:top w:val="doub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合同内容（简述）</w:t>
            </w:r>
          </w:p>
        </w:tc>
        <w:tc>
          <w:tcPr>
            <w:tcW w:w="992" w:type="dxa"/>
            <w:tcBorders>
              <w:top w:val="double" w:color="auto" w:sz="4" w:space="0"/>
            </w:tcBorders>
          </w:tcPr>
          <w:p>
            <w:pPr>
              <w:ind w:left="0"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设计面积/㎡</w:t>
            </w:r>
          </w:p>
        </w:tc>
        <w:tc>
          <w:tcPr>
            <w:tcW w:w="992" w:type="dxa"/>
            <w:tcBorders>
              <w:top w:val="double" w:color="auto" w:sz="4" w:space="0"/>
            </w:tcBorders>
            <w:vAlign w:val="center"/>
          </w:tcPr>
          <w:p>
            <w:pPr>
              <w:ind w:left="0"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合同</w:t>
            </w:r>
            <w:r>
              <w:rPr>
                <w:rFonts w:ascii="宋体" w:hAnsi="宋体"/>
                <w:color w:val="000000" w:themeColor="text1"/>
                <w:highlight w:val="none"/>
                <w14:textFill>
                  <w14:solidFill>
                    <w14:schemeClr w14:val="tx1"/>
                  </w14:solidFill>
                </w14:textFill>
              </w:rPr>
              <w:br w:type="textWrapping"/>
            </w:r>
            <w:r>
              <w:rPr>
                <w:rFonts w:hint="eastAsia" w:ascii="宋体" w:hAnsi="宋体"/>
                <w:color w:val="000000" w:themeColor="text1"/>
                <w:highlight w:val="none"/>
                <w14:textFill>
                  <w14:solidFill>
                    <w14:schemeClr w14:val="tx1"/>
                  </w14:solidFill>
                </w14:textFill>
              </w:rPr>
              <w:t>金额</w:t>
            </w:r>
          </w:p>
        </w:tc>
        <w:tc>
          <w:tcPr>
            <w:tcW w:w="993" w:type="dxa"/>
            <w:tcBorders>
              <w:top w:val="double" w:color="auto" w:sz="4" w:space="0"/>
            </w:tcBorders>
            <w:vAlign w:val="center"/>
          </w:tcPr>
          <w:p>
            <w:pPr>
              <w:ind w:left="0"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签订</w:t>
            </w:r>
            <w:r>
              <w:rPr>
                <w:rFonts w:ascii="宋体" w:hAnsi="宋体"/>
                <w:color w:val="000000" w:themeColor="text1"/>
                <w:highlight w:val="none"/>
                <w14:textFill>
                  <w14:solidFill>
                    <w14:schemeClr w14:val="tx1"/>
                  </w14:solidFill>
                </w14:textFill>
              </w:rPr>
              <w:br w:type="textWrapping"/>
            </w:r>
            <w:r>
              <w:rPr>
                <w:rFonts w:hint="eastAsia" w:ascii="宋体" w:hAnsi="宋体"/>
                <w:color w:val="000000" w:themeColor="text1"/>
                <w:highlight w:val="none"/>
                <w14:textFill>
                  <w14:solidFill>
                    <w14:schemeClr w14:val="tx1"/>
                  </w14:solidFill>
                </w14:textFill>
              </w:rPr>
              <w:t>时间</w:t>
            </w:r>
          </w:p>
        </w:tc>
        <w:tc>
          <w:tcPr>
            <w:tcW w:w="1388" w:type="dxa"/>
            <w:tcBorders>
              <w:top w:val="double" w:color="auto" w:sz="4" w:space="0"/>
            </w:tcBorders>
            <w:vAlign w:val="center"/>
          </w:tcPr>
          <w:p>
            <w:pPr>
              <w:ind w:left="0" w:firstLine="0"/>
              <w:jc w:val="center"/>
              <w:rPr>
                <w:rFonts w:ascii="宋体" w:hAnsi="宋体"/>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工期或服务</w:t>
            </w:r>
            <w:r>
              <w:rPr>
                <w:rFonts w:hint="eastAsia" w:ascii="宋体" w:hAnsi="宋体"/>
                <w:color w:val="000000" w:themeColor="text1"/>
                <w:highlight w:val="none"/>
                <w14:textFill>
                  <w14:solidFill>
                    <w14:schemeClr w14:val="tx1"/>
                  </w14:solidFill>
                </w14:textFill>
              </w:rPr>
              <w:t>时间</w:t>
            </w:r>
          </w:p>
        </w:tc>
        <w:tc>
          <w:tcPr>
            <w:tcW w:w="1044" w:type="dxa"/>
            <w:tcBorders>
              <w:top w:val="doub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业主单位</w:t>
            </w:r>
          </w:p>
        </w:tc>
        <w:tc>
          <w:tcPr>
            <w:tcW w:w="1043" w:type="dxa"/>
            <w:tcBorders>
              <w:top w:val="doub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联系电话</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43" w:hRule="atLeast"/>
          <w:jc w:val="center"/>
        </w:trPr>
        <w:tc>
          <w:tcPr>
            <w:tcW w:w="599" w:type="dxa"/>
          </w:tcPr>
          <w:p>
            <w:pPr>
              <w:ind w:left="0" w:firstLine="0"/>
              <w:rPr>
                <w:rFonts w:ascii="宋体" w:hAnsi="宋体"/>
                <w:color w:val="000000" w:themeColor="text1"/>
                <w:highlight w:val="none"/>
                <w14:textFill>
                  <w14:solidFill>
                    <w14:schemeClr w14:val="tx1"/>
                  </w14:solidFill>
                </w14:textFill>
              </w:rPr>
            </w:pPr>
          </w:p>
        </w:tc>
        <w:tc>
          <w:tcPr>
            <w:tcW w:w="1092" w:type="dxa"/>
          </w:tcPr>
          <w:p>
            <w:pPr>
              <w:ind w:left="0" w:firstLine="0"/>
              <w:rPr>
                <w:rFonts w:ascii="宋体" w:hAnsi="宋体"/>
                <w:color w:val="000000" w:themeColor="text1"/>
                <w:highlight w:val="none"/>
                <w14:textFill>
                  <w14:solidFill>
                    <w14:schemeClr w14:val="tx1"/>
                  </w14:solidFill>
                </w14:textFill>
              </w:rPr>
            </w:pPr>
          </w:p>
        </w:tc>
        <w:tc>
          <w:tcPr>
            <w:tcW w:w="1789" w:type="dxa"/>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3" w:type="dxa"/>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tcPr>
          <w:p>
            <w:pPr>
              <w:ind w:left="0" w:firstLine="0"/>
              <w:rPr>
                <w:rFonts w:ascii="宋体" w:hAnsi="宋体"/>
                <w:color w:val="000000" w:themeColor="text1"/>
                <w:highlight w:val="none"/>
                <w14:textFill>
                  <w14:solidFill>
                    <w14:schemeClr w14:val="tx1"/>
                  </w14:solidFill>
                </w14:textFill>
              </w:rPr>
            </w:pPr>
          </w:p>
        </w:tc>
        <w:tc>
          <w:tcPr>
            <w:tcW w:w="1043" w:type="dxa"/>
          </w:tcPr>
          <w:p>
            <w:pPr>
              <w:ind w:left="0" w:firstLine="0"/>
              <w:rPr>
                <w:rFonts w:ascii="宋体" w:hAnsi="宋体"/>
                <w:color w:val="000000" w:themeColor="text1"/>
                <w:highlight w:val="none"/>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000000" w:themeColor="text1"/>
                <w:highlight w:val="none"/>
                <w14:textFill>
                  <w14:solidFill>
                    <w14:schemeClr w14:val="tx1"/>
                  </w14:solidFill>
                </w14:textFill>
              </w:rPr>
            </w:pPr>
          </w:p>
        </w:tc>
        <w:tc>
          <w:tcPr>
            <w:tcW w:w="1092" w:type="dxa"/>
            <w:vAlign w:val="center"/>
          </w:tcPr>
          <w:p>
            <w:pPr>
              <w:ind w:left="0" w:firstLine="0"/>
              <w:rPr>
                <w:rFonts w:ascii="宋体" w:hAnsi="宋体"/>
                <w:color w:val="000000" w:themeColor="text1"/>
                <w:highlight w:val="none"/>
                <w14:textFill>
                  <w14:solidFill>
                    <w14:schemeClr w14:val="tx1"/>
                  </w14:solidFill>
                </w14:textFill>
              </w:rPr>
            </w:pPr>
          </w:p>
        </w:tc>
        <w:tc>
          <w:tcPr>
            <w:tcW w:w="1789" w:type="dxa"/>
            <w:vAlign w:val="center"/>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2" w:type="dxa"/>
            <w:vAlign w:val="center"/>
          </w:tcPr>
          <w:p>
            <w:pPr>
              <w:ind w:left="0" w:firstLine="0"/>
              <w:rPr>
                <w:rFonts w:ascii="宋体" w:hAnsi="宋体"/>
                <w:color w:val="000000" w:themeColor="text1"/>
                <w:highlight w:val="none"/>
                <w14:textFill>
                  <w14:solidFill>
                    <w14:schemeClr w14:val="tx1"/>
                  </w14:solidFill>
                </w14:textFill>
              </w:rPr>
            </w:pPr>
          </w:p>
        </w:tc>
        <w:tc>
          <w:tcPr>
            <w:tcW w:w="993" w:type="dxa"/>
            <w:vAlign w:val="center"/>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vAlign w:val="center"/>
          </w:tcPr>
          <w:p>
            <w:pPr>
              <w:ind w:left="0" w:firstLine="0"/>
              <w:rPr>
                <w:rFonts w:ascii="宋体" w:hAnsi="宋体"/>
                <w:color w:val="000000" w:themeColor="text1"/>
                <w:highlight w:val="none"/>
                <w14:textFill>
                  <w14:solidFill>
                    <w14:schemeClr w14:val="tx1"/>
                  </w14:solidFill>
                </w14:textFill>
              </w:rPr>
            </w:pPr>
          </w:p>
        </w:tc>
        <w:tc>
          <w:tcPr>
            <w:tcW w:w="1043" w:type="dxa"/>
            <w:vAlign w:val="center"/>
          </w:tcPr>
          <w:p>
            <w:pPr>
              <w:ind w:left="0" w:firstLine="0"/>
              <w:rPr>
                <w:rFonts w:ascii="宋体" w:hAnsi="宋体"/>
                <w:color w:val="000000" w:themeColor="text1"/>
                <w:highlight w:val="none"/>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000000" w:themeColor="text1"/>
                <w:highlight w:val="none"/>
                <w14:textFill>
                  <w14:solidFill>
                    <w14:schemeClr w14:val="tx1"/>
                  </w14:solidFill>
                </w14:textFill>
              </w:rPr>
            </w:pPr>
          </w:p>
        </w:tc>
        <w:tc>
          <w:tcPr>
            <w:tcW w:w="1092" w:type="dxa"/>
            <w:vAlign w:val="center"/>
          </w:tcPr>
          <w:p>
            <w:pPr>
              <w:ind w:left="0" w:firstLine="0"/>
              <w:rPr>
                <w:rFonts w:ascii="宋体" w:hAnsi="宋体"/>
                <w:color w:val="000000" w:themeColor="text1"/>
                <w:highlight w:val="none"/>
                <w14:textFill>
                  <w14:solidFill>
                    <w14:schemeClr w14:val="tx1"/>
                  </w14:solidFill>
                </w14:textFill>
              </w:rPr>
            </w:pPr>
          </w:p>
        </w:tc>
        <w:tc>
          <w:tcPr>
            <w:tcW w:w="1789" w:type="dxa"/>
            <w:vAlign w:val="center"/>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2" w:type="dxa"/>
            <w:vAlign w:val="center"/>
          </w:tcPr>
          <w:p>
            <w:pPr>
              <w:ind w:left="0" w:firstLine="0"/>
              <w:rPr>
                <w:rFonts w:ascii="宋体" w:hAnsi="宋体"/>
                <w:color w:val="000000" w:themeColor="text1"/>
                <w:highlight w:val="none"/>
                <w14:textFill>
                  <w14:solidFill>
                    <w14:schemeClr w14:val="tx1"/>
                  </w14:solidFill>
                </w14:textFill>
              </w:rPr>
            </w:pPr>
          </w:p>
        </w:tc>
        <w:tc>
          <w:tcPr>
            <w:tcW w:w="993" w:type="dxa"/>
            <w:vAlign w:val="center"/>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vAlign w:val="center"/>
          </w:tcPr>
          <w:p>
            <w:pPr>
              <w:ind w:left="0" w:firstLine="0"/>
              <w:rPr>
                <w:rFonts w:ascii="宋体" w:hAnsi="宋体"/>
                <w:color w:val="000000" w:themeColor="text1"/>
                <w:highlight w:val="none"/>
                <w14:textFill>
                  <w14:solidFill>
                    <w14:schemeClr w14:val="tx1"/>
                  </w14:solidFill>
                </w14:textFill>
              </w:rPr>
            </w:pPr>
          </w:p>
        </w:tc>
        <w:tc>
          <w:tcPr>
            <w:tcW w:w="1043" w:type="dxa"/>
            <w:vAlign w:val="center"/>
          </w:tcPr>
          <w:p>
            <w:pPr>
              <w:ind w:left="0" w:firstLine="0"/>
              <w:rPr>
                <w:rFonts w:ascii="宋体" w:hAnsi="宋体"/>
                <w:color w:val="000000" w:themeColor="text1"/>
                <w:highlight w:val="none"/>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000000" w:themeColor="text1"/>
                <w:highlight w:val="none"/>
                <w14:textFill>
                  <w14:solidFill>
                    <w14:schemeClr w14:val="tx1"/>
                  </w14:solidFill>
                </w14:textFill>
              </w:rPr>
            </w:pPr>
          </w:p>
        </w:tc>
        <w:tc>
          <w:tcPr>
            <w:tcW w:w="1092" w:type="dxa"/>
            <w:vAlign w:val="center"/>
          </w:tcPr>
          <w:p>
            <w:pPr>
              <w:ind w:left="0" w:firstLine="0"/>
              <w:rPr>
                <w:rFonts w:ascii="宋体" w:hAnsi="宋体"/>
                <w:color w:val="000000" w:themeColor="text1"/>
                <w:highlight w:val="none"/>
                <w14:textFill>
                  <w14:solidFill>
                    <w14:schemeClr w14:val="tx1"/>
                  </w14:solidFill>
                </w14:textFill>
              </w:rPr>
            </w:pPr>
          </w:p>
        </w:tc>
        <w:tc>
          <w:tcPr>
            <w:tcW w:w="1789" w:type="dxa"/>
            <w:vAlign w:val="center"/>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2" w:type="dxa"/>
            <w:vAlign w:val="center"/>
          </w:tcPr>
          <w:p>
            <w:pPr>
              <w:ind w:left="0" w:firstLine="0"/>
              <w:rPr>
                <w:rFonts w:ascii="宋体" w:hAnsi="宋体"/>
                <w:color w:val="000000" w:themeColor="text1"/>
                <w:highlight w:val="none"/>
                <w14:textFill>
                  <w14:solidFill>
                    <w14:schemeClr w14:val="tx1"/>
                  </w14:solidFill>
                </w14:textFill>
              </w:rPr>
            </w:pPr>
          </w:p>
        </w:tc>
        <w:tc>
          <w:tcPr>
            <w:tcW w:w="993" w:type="dxa"/>
            <w:vAlign w:val="center"/>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vAlign w:val="center"/>
          </w:tcPr>
          <w:p>
            <w:pPr>
              <w:ind w:left="0" w:firstLine="0"/>
              <w:rPr>
                <w:rFonts w:ascii="宋体" w:hAnsi="宋体"/>
                <w:color w:val="000000" w:themeColor="text1"/>
                <w:highlight w:val="none"/>
                <w14:textFill>
                  <w14:solidFill>
                    <w14:schemeClr w14:val="tx1"/>
                  </w14:solidFill>
                </w14:textFill>
              </w:rPr>
            </w:pPr>
          </w:p>
        </w:tc>
        <w:tc>
          <w:tcPr>
            <w:tcW w:w="1043" w:type="dxa"/>
            <w:vAlign w:val="center"/>
          </w:tcPr>
          <w:p>
            <w:pPr>
              <w:ind w:left="0" w:firstLine="0"/>
              <w:rPr>
                <w:rFonts w:ascii="宋体" w:hAnsi="宋体"/>
                <w:color w:val="000000" w:themeColor="text1"/>
                <w:highlight w:val="none"/>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000000" w:themeColor="text1"/>
                <w:highlight w:val="none"/>
                <w14:textFill>
                  <w14:solidFill>
                    <w14:schemeClr w14:val="tx1"/>
                  </w14:solidFill>
                </w14:textFill>
              </w:rPr>
            </w:pPr>
          </w:p>
        </w:tc>
        <w:tc>
          <w:tcPr>
            <w:tcW w:w="1092" w:type="dxa"/>
            <w:vAlign w:val="center"/>
          </w:tcPr>
          <w:p>
            <w:pPr>
              <w:ind w:left="0" w:firstLine="0"/>
              <w:rPr>
                <w:rFonts w:ascii="宋体" w:hAnsi="宋体"/>
                <w:color w:val="000000" w:themeColor="text1"/>
                <w:highlight w:val="none"/>
                <w14:textFill>
                  <w14:solidFill>
                    <w14:schemeClr w14:val="tx1"/>
                  </w14:solidFill>
                </w14:textFill>
              </w:rPr>
            </w:pPr>
          </w:p>
        </w:tc>
        <w:tc>
          <w:tcPr>
            <w:tcW w:w="1789" w:type="dxa"/>
            <w:vAlign w:val="center"/>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2" w:type="dxa"/>
            <w:vAlign w:val="center"/>
          </w:tcPr>
          <w:p>
            <w:pPr>
              <w:ind w:left="0" w:firstLine="0"/>
              <w:rPr>
                <w:rFonts w:ascii="宋体" w:hAnsi="宋体"/>
                <w:color w:val="000000" w:themeColor="text1"/>
                <w:highlight w:val="none"/>
                <w14:textFill>
                  <w14:solidFill>
                    <w14:schemeClr w14:val="tx1"/>
                  </w14:solidFill>
                </w14:textFill>
              </w:rPr>
            </w:pPr>
          </w:p>
        </w:tc>
        <w:tc>
          <w:tcPr>
            <w:tcW w:w="993" w:type="dxa"/>
            <w:vAlign w:val="center"/>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vAlign w:val="center"/>
          </w:tcPr>
          <w:p>
            <w:pPr>
              <w:ind w:left="0" w:firstLine="0"/>
              <w:rPr>
                <w:rFonts w:ascii="宋体" w:hAnsi="宋体"/>
                <w:color w:val="000000" w:themeColor="text1"/>
                <w:highlight w:val="none"/>
                <w14:textFill>
                  <w14:solidFill>
                    <w14:schemeClr w14:val="tx1"/>
                  </w14:solidFill>
                </w14:textFill>
              </w:rPr>
            </w:pPr>
          </w:p>
        </w:tc>
        <w:tc>
          <w:tcPr>
            <w:tcW w:w="1043" w:type="dxa"/>
            <w:vAlign w:val="center"/>
          </w:tcPr>
          <w:p>
            <w:pPr>
              <w:ind w:left="0" w:firstLine="0"/>
              <w:rPr>
                <w:rFonts w:ascii="宋体" w:hAnsi="宋体"/>
                <w:color w:val="000000" w:themeColor="text1"/>
                <w:highlight w:val="none"/>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000000" w:themeColor="text1"/>
                <w:highlight w:val="none"/>
                <w14:textFill>
                  <w14:solidFill>
                    <w14:schemeClr w14:val="tx1"/>
                  </w14:solidFill>
                </w14:textFill>
              </w:rPr>
            </w:pPr>
          </w:p>
        </w:tc>
        <w:tc>
          <w:tcPr>
            <w:tcW w:w="1092" w:type="dxa"/>
            <w:vAlign w:val="center"/>
          </w:tcPr>
          <w:p>
            <w:pPr>
              <w:ind w:left="0" w:firstLine="0"/>
              <w:rPr>
                <w:rFonts w:ascii="宋体" w:hAnsi="宋体"/>
                <w:color w:val="000000" w:themeColor="text1"/>
                <w:highlight w:val="none"/>
                <w14:textFill>
                  <w14:solidFill>
                    <w14:schemeClr w14:val="tx1"/>
                  </w14:solidFill>
                </w14:textFill>
              </w:rPr>
            </w:pPr>
          </w:p>
        </w:tc>
        <w:tc>
          <w:tcPr>
            <w:tcW w:w="1789" w:type="dxa"/>
            <w:vAlign w:val="center"/>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2" w:type="dxa"/>
            <w:vAlign w:val="center"/>
          </w:tcPr>
          <w:p>
            <w:pPr>
              <w:ind w:left="0" w:firstLine="0"/>
              <w:rPr>
                <w:rFonts w:ascii="宋体" w:hAnsi="宋体"/>
                <w:color w:val="000000" w:themeColor="text1"/>
                <w:highlight w:val="none"/>
                <w14:textFill>
                  <w14:solidFill>
                    <w14:schemeClr w14:val="tx1"/>
                  </w14:solidFill>
                </w14:textFill>
              </w:rPr>
            </w:pPr>
          </w:p>
        </w:tc>
        <w:tc>
          <w:tcPr>
            <w:tcW w:w="993" w:type="dxa"/>
            <w:vAlign w:val="center"/>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vAlign w:val="center"/>
          </w:tcPr>
          <w:p>
            <w:pPr>
              <w:ind w:left="0" w:firstLine="0"/>
              <w:rPr>
                <w:rFonts w:ascii="宋体" w:hAnsi="宋体"/>
                <w:color w:val="000000" w:themeColor="text1"/>
                <w:highlight w:val="none"/>
                <w14:textFill>
                  <w14:solidFill>
                    <w14:schemeClr w14:val="tx1"/>
                  </w14:solidFill>
                </w14:textFill>
              </w:rPr>
            </w:pPr>
          </w:p>
        </w:tc>
        <w:tc>
          <w:tcPr>
            <w:tcW w:w="1043" w:type="dxa"/>
            <w:vAlign w:val="center"/>
          </w:tcPr>
          <w:p>
            <w:pPr>
              <w:ind w:left="0" w:firstLine="0"/>
              <w:rPr>
                <w:rFonts w:ascii="宋体" w:hAnsi="宋体"/>
                <w:color w:val="000000" w:themeColor="text1"/>
                <w:highlight w:val="none"/>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000000" w:themeColor="text1"/>
                <w:highlight w:val="none"/>
                <w14:textFill>
                  <w14:solidFill>
                    <w14:schemeClr w14:val="tx1"/>
                  </w14:solidFill>
                </w14:textFill>
              </w:rPr>
            </w:pPr>
          </w:p>
        </w:tc>
        <w:tc>
          <w:tcPr>
            <w:tcW w:w="1092" w:type="dxa"/>
            <w:vAlign w:val="center"/>
          </w:tcPr>
          <w:p>
            <w:pPr>
              <w:ind w:left="0" w:firstLine="0"/>
              <w:rPr>
                <w:rFonts w:ascii="宋体" w:hAnsi="宋体"/>
                <w:color w:val="000000" w:themeColor="text1"/>
                <w:highlight w:val="none"/>
                <w14:textFill>
                  <w14:solidFill>
                    <w14:schemeClr w14:val="tx1"/>
                  </w14:solidFill>
                </w14:textFill>
              </w:rPr>
            </w:pPr>
          </w:p>
        </w:tc>
        <w:tc>
          <w:tcPr>
            <w:tcW w:w="1789" w:type="dxa"/>
            <w:vAlign w:val="center"/>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2" w:type="dxa"/>
            <w:vAlign w:val="center"/>
          </w:tcPr>
          <w:p>
            <w:pPr>
              <w:ind w:left="0" w:firstLine="0"/>
              <w:rPr>
                <w:rFonts w:ascii="宋体" w:hAnsi="宋体"/>
                <w:color w:val="000000" w:themeColor="text1"/>
                <w:highlight w:val="none"/>
                <w14:textFill>
                  <w14:solidFill>
                    <w14:schemeClr w14:val="tx1"/>
                  </w14:solidFill>
                </w14:textFill>
              </w:rPr>
            </w:pPr>
          </w:p>
        </w:tc>
        <w:tc>
          <w:tcPr>
            <w:tcW w:w="993" w:type="dxa"/>
            <w:vAlign w:val="center"/>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vAlign w:val="center"/>
          </w:tcPr>
          <w:p>
            <w:pPr>
              <w:ind w:left="0" w:firstLine="0"/>
              <w:rPr>
                <w:rFonts w:ascii="宋体" w:hAnsi="宋体"/>
                <w:color w:val="000000" w:themeColor="text1"/>
                <w:highlight w:val="none"/>
                <w14:textFill>
                  <w14:solidFill>
                    <w14:schemeClr w14:val="tx1"/>
                  </w14:solidFill>
                </w14:textFill>
              </w:rPr>
            </w:pPr>
          </w:p>
        </w:tc>
        <w:tc>
          <w:tcPr>
            <w:tcW w:w="1043" w:type="dxa"/>
            <w:vAlign w:val="center"/>
          </w:tcPr>
          <w:p>
            <w:pPr>
              <w:ind w:left="0" w:firstLine="0"/>
              <w:rPr>
                <w:rFonts w:ascii="宋体" w:hAnsi="宋体"/>
                <w:color w:val="000000" w:themeColor="text1"/>
                <w:highlight w:val="none"/>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000000" w:themeColor="text1"/>
                <w:highlight w:val="none"/>
                <w14:textFill>
                  <w14:solidFill>
                    <w14:schemeClr w14:val="tx1"/>
                  </w14:solidFill>
                </w14:textFill>
              </w:rPr>
            </w:pPr>
          </w:p>
        </w:tc>
        <w:tc>
          <w:tcPr>
            <w:tcW w:w="1092" w:type="dxa"/>
            <w:vAlign w:val="center"/>
          </w:tcPr>
          <w:p>
            <w:pPr>
              <w:ind w:left="0" w:firstLine="0"/>
              <w:rPr>
                <w:rFonts w:ascii="宋体" w:hAnsi="宋体"/>
                <w:color w:val="000000" w:themeColor="text1"/>
                <w:highlight w:val="none"/>
                <w14:textFill>
                  <w14:solidFill>
                    <w14:schemeClr w14:val="tx1"/>
                  </w14:solidFill>
                </w14:textFill>
              </w:rPr>
            </w:pPr>
          </w:p>
        </w:tc>
        <w:tc>
          <w:tcPr>
            <w:tcW w:w="1789" w:type="dxa"/>
            <w:vAlign w:val="center"/>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2" w:type="dxa"/>
            <w:vAlign w:val="center"/>
          </w:tcPr>
          <w:p>
            <w:pPr>
              <w:ind w:left="0" w:firstLine="0"/>
              <w:rPr>
                <w:rFonts w:ascii="宋体" w:hAnsi="宋体"/>
                <w:color w:val="000000" w:themeColor="text1"/>
                <w:highlight w:val="none"/>
                <w14:textFill>
                  <w14:solidFill>
                    <w14:schemeClr w14:val="tx1"/>
                  </w14:solidFill>
                </w14:textFill>
              </w:rPr>
            </w:pPr>
          </w:p>
        </w:tc>
        <w:tc>
          <w:tcPr>
            <w:tcW w:w="993" w:type="dxa"/>
            <w:vAlign w:val="center"/>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vAlign w:val="center"/>
          </w:tcPr>
          <w:p>
            <w:pPr>
              <w:ind w:left="0" w:firstLine="0"/>
              <w:rPr>
                <w:rFonts w:ascii="宋体" w:hAnsi="宋体"/>
                <w:color w:val="000000" w:themeColor="text1"/>
                <w:highlight w:val="none"/>
                <w14:textFill>
                  <w14:solidFill>
                    <w14:schemeClr w14:val="tx1"/>
                  </w14:solidFill>
                </w14:textFill>
              </w:rPr>
            </w:pPr>
          </w:p>
        </w:tc>
        <w:tc>
          <w:tcPr>
            <w:tcW w:w="1043" w:type="dxa"/>
            <w:vAlign w:val="center"/>
          </w:tcPr>
          <w:p>
            <w:pPr>
              <w:ind w:left="0" w:firstLine="0"/>
              <w:rPr>
                <w:rFonts w:ascii="宋体" w:hAnsi="宋体"/>
                <w:color w:val="000000" w:themeColor="text1"/>
                <w:highlight w:val="none"/>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82" w:hRule="atLeast"/>
          <w:jc w:val="center"/>
        </w:trPr>
        <w:tc>
          <w:tcPr>
            <w:tcW w:w="599" w:type="dxa"/>
            <w:vAlign w:val="center"/>
          </w:tcPr>
          <w:p>
            <w:pPr>
              <w:ind w:left="0" w:firstLine="0"/>
              <w:rPr>
                <w:rFonts w:ascii="宋体" w:hAnsi="宋体"/>
                <w:color w:val="000000" w:themeColor="text1"/>
                <w:highlight w:val="none"/>
                <w14:textFill>
                  <w14:solidFill>
                    <w14:schemeClr w14:val="tx1"/>
                  </w14:solidFill>
                </w14:textFill>
              </w:rPr>
            </w:pPr>
          </w:p>
        </w:tc>
        <w:tc>
          <w:tcPr>
            <w:tcW w:w="1092" w:type="dxa"/>
            <w:vAlign w:val="center"/>
          </w:tcPr>
          <w:p>
            <w:pPr>
              <w:ind w:left="0" w:firstLine="0"/>
              <w:rPr>
                <w:rFonts w:ascii="宋体" w:hAnsi="宋体"/>
                <w:color w:val="000000" w:themeColor="text1"/>
                <w:highlight w:val="none"/>
                <w14:textFill>
                  <w14:solidFill>
                    <w14:schemeClr w14:val="tx1"/>
                  </w14:solidFill>
                </w14:textFill>
              </w:rPr>
            </w:pPr>
          </w:p>
        </w:tc>
        <w:tc>
          <w:tcPr>
            <w:tcW w:w="1789" w:type="dxa"/>
            <w:vAlign w:val="center"/>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2" w:type="dxa"/>
            <w:vAlign w:val="center"/>
          </w:tcPr>
          <w:p>
            <w:pPr>
              <w:ind w:left="0" w:firstLine="0"/>
              <w:rPr>
                <w:rFonts w:ascii="宋体" w:hAnsi="宋体"/>
                <w:color w:val="000000" w:themeColor="text1"/>
                <w:highlight w:val="none"/>
                <w14:textFill>
                  <w14:solidFill>
                    <w14:schemeClr w14:val="tx1"/>
                  </w14:solidFill>
                </w14:textFill>
              </w:rPr>
            </w:pPr>
          </w:p>
        </w:tc>
        <w:tc>
          <w:tcPr>
            <w:tcW w:w="993" w:type="dxa"/>
            <w:vAlign w:val="center"/>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vAlign w:val="center"/>
          </w:tcPr>
          <w:p>
            <w:pPr>
              <w:ind w:left="0" w:firstLine="0"/>
              <w:rPr>
                <w:rFonts w:ascii="宋体" w:hAnsi="宋体"/>
                <w:color w:val="000000" w:themeColor="text1"/>
                <w:highlight w:val="none"/>
                <w14:textFill>
                  <w14:solidFill>
                    <w14:schemeClr w14:val="tx1"/>
                  </w14:solidFill>
                </w14:textFill>
              </w:rPr>
            </w:pPr>
          </w:p>
        </w:tc>
        <w:tc>
          <w:tcPr>
            <w:tcW w:w="1043" w:type="dxa"/>
            <w:vAlign w:val="center"/>
          </w:tcPr>
          <w:p>
            <w:pPr>
              <w:ind w:left="0" w:firstLine="0"/>
              <w:rPr>
                <w:rFonts w:ascii="宋体" w:hAnsi="宋体"/>
                <w:color w:val="000000" w:themeColor="text1"/>
                <w:highlight w:val="none"/>
                <w14:textFill>
                  <w14:solidFill>
                    <w14:schemeClr w14:val="tx1"/>
                  </w14:solidFill>
                </w14:textFill>
              </w:rPr>
            </w:pPr>
          </w:p>
        </w:tc>
      </w:tr>
    </w:tbl>
    <w:p>
      <w:pPr>
        <w:spacing w:before="0"/>
        <w:ind w:left="567" w:right="-57" w:hanging="567"/>
        <w:jc w:val="left"/>
        <w:rPr>
          <w:rFonts w:ascii="宋体" w:hAnsi="宋体"/>
          <w:color w:val="000000" w:themeColor="text1"/>
          <w:highlight w:val="none"/>
          <w14:textFill>
            <w14:solidFill>
              <w14:schemeClr w14:val="tx1"/>
            </w14:solidFill>
          </w14:textFill>
        </w:rPr>
      </w:pP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注：1.</w:t>
      </w:r>
      <w:r>
        <w:rPr>
          <w:rFonts w:hint="eastAsia" w:ascii="宋体" w:hAnsi="宋体"/>
          <w:color w:val="000000" w:themeColor="text1"/>
          <w:highlight w:val="none"/>
          <w14:textFill>
            <w14:solidFill>
              <w14:schemeClr w14:val="tx1"/>
            </w14:solidFill>
          </w14:textFill>
        </w:rPr>
        <w:t>类似项目业绩：</w:t>
      </w:r>
      <w:r>
        <w:rPr>
          <w:rFonts w:hint="eastAsia" w:ascii="宋体" w:hAnsi="宋体"/>
          <w:color w:val="000000" w:themeColor="text1"/>
          <w:highlight w:val="none"/>
          <w:lang w:val="en-US" w:eastAsia="zh-CN"/>
          <w14:textFill>
            <w14:solidFill>
              <w14:schemeClr w14:val="tx1"/>
            </w14:solidFill>
          </w14:textFill>
        </w:rPr>
        <w:t>比选申请人自2021年1月1日至比选申请截止时间前，承接过（完工/在建项目）1个及以上50万元（含）以上的市政工程设计项目。</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2.</w:t>
      </w:r>
      <w:r>
        <w:rPr>
          <w:rFonts w:hint="eastAsia" w:ascii="宋体" w:hAnsi="宋体"/>
          <w:color w:val="000000" w:themeColor="text1"/>
          <w:highlight w:val="none"/>
          <w14:textFill>
            <w14:solidFill>
              <w14:schemeClr w14:val="tx1"/>
            </w14:solidFill>
          </w14:textFill>
        </w:rPr>
        <w:t>项目按照时间顺序排列，时间以合同签订时间为准。</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3.</w:t>
      </w:r>
      <w:r>
        <w:rPr>
          <w:rFonts w:hint="eastAsia" w:ascii="宋体" w:hAnsi="宋体"/>
          <w:color w:val="000000" w:themeColor="text1"/>
          <w:highlight w:val="none"/>
          <w14:textFill>
            <w14:solidFill>
              <w14:schemeClr w14:val="tx1"/>
            </w14:solidFill>
          </w14:textFill>
        </w:rPr>
        <w:t>比选申请人须提供相应的业绩证明材料：提供下述材料之一即可：①合同文件；②中标通知书。所提供的材料须能明确反映类似项目特征，复印件加盖比选申请人公章。</w:t>
      </w:r>
    </w:p>
    <w:p>
      <w:pPr>
        <w:snapToGrid w:val="0"/>
        <w:spacing w:after="50" w:line="280" w:lineRule="exact"/>
        <w:ind w:left="955" w:right="-817" w:firstLine="2520" w:firstLineChars="1200"/>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比选申请人名称（盖章）：</w:t>
      </w:r>
    </w:p>
    <w:p>
      <w:pPr>
        <w:snapToGrid w:val="0"/>
        <w:spacing w:after="50" w:line="280" w:lineRule="exact"/>
        <w:ind w:right="-817" w:firstLine="2625" w:firstLineChars="1250"/>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 法定代表人或被授权人（签字）：</w:t>
      </w:r>
    </w:p>
    <w:p>
      <w:pPr>
        <w:ind w:left="710" w:leftChars="338" w:right="-57" w:firstLine="3234" w:firstLineChars="1540"/>
        <w:jc w:val="left"/>
        <w:rPr>
          <w:rFonts w:hint="default"/>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日  期：年月日</w:t>
      </w:r>
    </w:p>
    <w:p>
      <w:pPr>
        <w:pStyle w:val="81"/>
        <w:spacing w:line="360" w:lineRule="auto"/>
        <w:ind w:left="425" w:firstLine="0" w:firstLineChars="0"/>
        <w:jc w:val="left"/>
        <w:rPr>
          <w:rFonts w:hint="eastAsia" w:ascii="宋体" w:hAnsi="宋体"/>
          <w:color w:val="000000" w:themeColor="text1"/>
          <w:szCs w:val="21"/>
          <w:highlight w:val="none"/>
          <w14:textFill>
            <w14:solidFill>
              <w14:schemeClr w14:val="tx1"/>
            </w14:solidFill>
          </w14:textFill>
        </w:rPr>
      </w:pPr>
    </w:p>
    <w:p>
      <w:pPr>
        <w:pStyle w:val="32"/>
        <w:ind w:left="0" w:leftChars="0" w:firstLine="0" w:firstLineChars="0"/>
        <w:rPr>
          <w:rFonts w:eastAsia="宋体"/>
          <w:color w:val="000000" w:themeColor="text1"/>
          <w:highlight w:val="none"/>
          <w14:textFill>
            <w14:solidFill>
              <w14:schemeClr w14:val="tx1"/>
            </w14:solidFill>
          </w14:textFill>
        </w:rPr>
      </w:pPr>
    </w:p>
    <w:p>
      <w:pPr>
        <w:pStyle w:val="15"/>
        <w:pageBreakBefore/>
        <w:ind w:right="-57" w:firstLine="0"/>
        <w:jc w:val="center"/>
        <w:outlineLvl w:val="0"/>
        <w:rPr>
          <w:rStyle w:val="53"/>
          <w:rFonts w:ascii="宋体" w:hAnsi="宋体" w:eastAsia="宋体"/>
          <w:color w:val="000000" w:themeColor="text1"/>
          <w:highlight w:val="none"/>
          <w14:textFill>
            <w14:solidFill>
              <w14:schemeClr w14:val="tx1"/>
            </w14:solidFill>
          </w14:textFill>
        </w:rPr>
      </w:pPr>
      <w:bookmarkStart w:id="1449" w:name="_Toc5856"/>
      <w:r>
        <w:rPr>
          <w:rStyle w:val="53"/>
          <w:rFonts w:hint="eastAsia" w:hAnsi="宋体"/>
          <w:color w:val="000000" w:themeColor="text1"/>
          <w:highlight w:val="none"/>
          <w14:textFill>
            <w14:solidFill>
              <w14:schemeClr w14:val="tx1"/>
            </w14:solidFill>
          </w14:textFill>
        </w:rPr>
        <w:t>六</w:t>
      </w:r>
      <w:r>
        <w:rPr>
          <w:rStyle w:val="53"/>
          <w:rFonts w:hint="eastAsia" w:ascii="宋体" w:hAnsi="宋体" w:eastAsia="宋体"/>
          <w:color w:val="000000" w:themeColor="text1"/>
          <w:highlight w:val="none"/>
          <w14:textFill>
            <w14:solidFill>
              <w14:schemeClr w14:val="tx1"/>
            </w14:solidFill>
          </w14:textFill>
        </w:rPr>
        <w:t>章评分办法</w:t>
      </w:r>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p>
    <w:p>
      <w:pPr>
        <w:spacing w:before="0" w:after="0" w:afterAutospacing="0"/>
        <w:ind w:left="0" w:right="0" w:firstLine="562" w:firstLineChars="200"/>
        <w:outlineLvl w:val="1"/>
        <w:rPr>
          <w:rFonts w:ascii="宋体" w:hAnsi="宋体" w:cs="Arial"/>
          <w:b/>
          <w:bCs/>
          <w:color w:val="000000" w:themeColor="text1"/>
          <w:sz w:val="28"/>
          <w:szCs w:val="28"/>
          <w:highlight w:val="none"/>
          <w14:textFill>
            <w14:solidFill>
              <w14:schemeClr w14:val="tx1"/>
            </w14:solidFill>
          </w14:textFill>
        </w:rPr>
      </w:pPr>
      <w:bookmarkStart w:id="1450" w:name="_Toc5564"/>
      <w:bookmarkStart w:id="1451" w:name="_Toc114134684"/>
      <w:bookmarkStart w:id="1452" w:name="_Toc30407"/>
      <w:r>
        <w:rPr>
          <w:rFonts w:hint="eastAsia" w:ascii="宋体" w:hAnsi="宋体" w:cs="Arial"/>
          <w:b/>
          <w:bCs/>
          <w:color w:val="000000" w:themeColor="text1"/>
          <w:sz w:val="28"/>
          <w:szCs w:val="28"/>
          <w:highlight w:val="none"/>
          <w14:textFill>
            <w14:solidFill>
              <w14:schemeClr w14:val="tx1"/>
            </w14:solidFill>
          </w14:textFill>
        </w:rPr>
        <w:t>一、评审原则</w:t>
      </w:r>
      <w:bookmarkEnd w:id="1450"/>
      <w:bookmarkEnd w:id="1451"/>
      <w:bookmarkEnd w:id="1452"/>
    </w:p>
    <w:p>
      <w:pPr>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ascii="宋体" w:hAnsi="宋体" w:cs="Arial"/>
          <w:color w:val="000000" w:themeColor="text1"/>
          <w:highlight w:val="none"/>
          <w14:textFill>
            <w14:solidFill>
              <w14:schemeClr w14:val="tx1"/>
            </w14:solidFill>
          </w14:textFill>
        </w:rPr>
        <w:t>1.1</w:t>
      </w:r>
      <w:r>
        <w:rPr>
          <w:rFonts w:hint="eastAsia" w:ascii="宋体" w:hAnsi="宋体" w:cs="Arial"/>
          <w:bCs/>
          <w:color w:val="000000" w:themeColor="text1"/>
          <w:highlight w:val="none"/>
          <w14:textFill>
            <w14:solidFill>
              <w14:schemeClr w14:val="tx1"/>
            </w14:solidFill>
          </w14:textFill>
        </w:rPr>
        <w:t>评审委员会成员构成：本项目由</w:t>
      </w:r>
      <w:r>
        <w:rPr>
          <w:rFonts w:hint="eastAsia" w:ascii="宋体" w:hAnsi="宋体" w:cs="Arial"/>
          <w:bCs/>
          <w:color w:val="000000" w:themeColor="text1"/>
          <w:highlight w:val="none"/>
          <w:lang w:eastAsia="zh-CN"/>
          <w14:textFill>
            <w14:solidFill>
              <w14:schemeClr w14:val="tx1"/>
            </w14:solidFill>
          </w14:textFill>
        </w:rPr>
        <w:t>南宁兴邕城市更新有限责任公司</w:t>
      </w:r>
      <w:r>
        <w:rPr>
          <w:rFonts w:hint="eastAsia" w:ascii="宋体" w:hAnsi="宋体" w:cs="Arial"/>
          <w:bCs/>
          <w:color w:val="000000" w:themeColor="text1"/>
          <w:highlight w:val="none"/>
          <w14:textFill>
            <w14:solidFill>
              <w14:schemeClr w14:val="tx1"/>
            </w14:solidFill>
          </w14:textFill>
        </w:rPr>
        <w:t>3人及以上单数组成评审小组，对比选申请文件按评审标准进行评审；由</w:t>
      </w:r>
      <w:r>
        <w:rPr>
          <w:rFonts w:hint="eastAsia" w:ascii="宋体" w:hAnsi="宋体" w:cs="Arial"/>
          <w:bCs/>
          <w:color w:val="000000" w:themeColor="text1"/>
          <w:highlight w:val="none"/>
          <w:lang w:eastAsia="zh-CN"/>
          <w14:textFill>
            <w14:solidFill>
              <w14:schemeClr w14:val="tx1"/>
            </w14:solidFill>
          </w14:textFill>
        </w:rPr>
        <w:t>南宁兴邕城市更新有限责任公司</w:t>
      </w:r>
      <w:r>
        <w:rPr>
          <w:rFonts w:hint="eastAsia" w:ascii="宋体" w:hAnsi="宋体" w:cs="Arial"/>
          <w:bCs/>
          <w:color w:val="000000" w:themeColor="text1"/>
          <w:highlight w:val="none"/>
          <w14:textFill>
            <w14:solidFill>
              <w14:schemeClr w14:val="tx1"/>
            </w14:solidFill>
          </w14:textFill>
        </w:rPr>
        <w:t>纪检监察部门进行监督。</w:t>
      </w:r>
    </w:p>
    <w:p>
      <w:pPr>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ascii="宋体" w:hAnsi="宋体" w:cs="Arial"/>
          <w:color w:val="000000" w:themeColor="text1"/>
          <w:highlight w:val="none"/>
          <w14:textFill>
            <w14:solidFill>
              <w14:schemeClr w14:val="tx1"/>
            </w14:solidFill>
          </w14:textFill>
        </w:rPr>
        <w:t>1.2</w:t>
      </w:r>
      <w:r>
        <w:rPr>
          <w:rFonts w:hint="eastAsia" w:ascii="宋体" w:hAnsi="宋体" w:cs="Arial"/>
          <w:bCs/>
          <w:color w:val="000000" w:themeColor="text1"/>
          <w:highlight w:val="none"/>
          <w14:textFill>
            <w14:solidFill>
              <w14:schemeClr w14:val="tx1"/>
            </w14:solidFill>
          </w14:textFill>
        </w:rPr>
        <w:t>评审依据：评审委员会以比选文件、比选申请文件为评审依据。</w:t>
      </w:r>
    </w:p>
    <w:p>
      <w:pPr>
        <w:spacing w:before="0" w:after="0" w:afterAutospacing="0"/>
        <w:ind w:left="0" w:right="0" w:firstLine="420" w:firstLineChars="200"/>
        <w:rPr>
          <w:rFonts w:ascii="宋体" w:hAnsi="宋体" w:cs="Arial"/>
          <w:bCs/>
          <w:color w:val="000000" w:themeColor="text1"/>
          <w:highlight w:val="none"/>
          <w14:textFill>
            <w14:solidFill>
              <w14:schemeClr w14:val="tx1"/>
            </w14:solidFill>
          </w14:textFill>
        </w:rPr>
      </w:pPr>
      <w:r>
        <w:rPr>
          <w:rFonts w:ascii="宋体" w:hAnsi="宋体" w:cs="Arial"/>
          <w:color w:val="000000" w:themeColor="text1"/>
          <w:highlight w:val="none"/>
          <w14:textFill>
            <w14:solidFill>
              <w14:schemeClr w14:val="tx1"/>
            </w14:solidFill>
          </w14:textFill>
        </w:rPr>
        <w:t>1.3</w:t>
      </w:r>
      <w:r>
        <w:rPr>
          <w:rFonts w:hint="eastAsia" w:ascii="宋体" w:hAnsi="宋体" w:cs="Arial"/>
          <w:bCs/>
          <w:color w:val="000000" w:themeColor="text1"/>
          <w:highlight w:val="none"/>
          <w14:textFill>
            <w14:solidFill>
              <w14:schemeClr w14:val="tx1"/>
            </w14:solidFill>
          </w14:textFill>
        </w:rPr>
        <w:t>评审方式：以封闭方式进行。</w:t>
      </w:r>
    </w:p>
    <w:p>
      <w:pPr>
        <w:spacing w:before="0" w:after="0" w:afterAutospacing="0"/>
        <w:ind w:left="0" w:right="0" w:firstLine="562" w:firstLineChars="200"/>
        <w:outlineLvl w:val="1"/>
        <w:rPr>
          <w:rFonts w:ascii="宋体" w:hAnsi="宋体" w:cs="Arial"/>
          <w:b/>
          <w:bCs/>
          <w:color w:val="000000" w:themeColor="text1"/>
          <w:sz w:val="28"/>
          <w:szCs w:val="28"/>
          <w:highlight w:val="none"/>
          <w14:textFill>
            <w14:solidFill>
              <w14:schemeClr w14:val="tx1"/>
            </w14:solidFill>
          </w14:textFill>
        </w:rPr>
      </w:pPr>
      <w:bookmarkStart w:id="1453" w:name="_Toc15880"/>
      <w:bookmarkStart w:id="1454" w:name="_Toc114134685"/>
      <w:bookmarkStart w:id="1455" w:name="_Toc15571"/>
      <w:bookmarkStart w:id="1456" w:name="_Toc29000"/>
      <w:bookmarkStart w:id="1457" w:name="_Toc478566177"/>
      <w:bookmarkStart w:id="1458" w:name="_Toc11240"/>
      <w:bookmarkStart w:id="1459" w:name="_Toc5136"/>
      <w:bookmarkStart w:id="1460" w:name="_Toc4757"/>
      <w:r>
        <w:rPr>
          <w:rFonts w:hint="eastAsia" w:ascii="宋体" w:hAnsi="宋体" w:cs="Arial"/>
          <w:b/>
          <w:bCs/>
          <w:color w:val="000000" w:themeColor="text1"/>
          <w:sz w:val="28"/>
          <w:szCs w:val="28"/>
          <w:highlight w:val="none"/>
          <w14:textFill>
            <w14:solidFill>
              <w14:schemeClr w14:val="tx1"/>
            </w14:solidFill>
          </w14:textFill>
        </w:rPr>
        <w:t>二、评定方法</w:t>
      </w:r>
      <w:bookmarkEnd w:id="1453"/>
      <w:bookmarkEnd w:id="1454"/>
      <w:bookmarkEnd w:id="1455"/>
      <w:bookmarkEnd w:id="1456"/>
      <w:bookmarkEnd w:id="1457"/>
      <w:bookmarkEnd w:id="1458"/>
      <w:bookmarkEnd w:id="1459"/>
      <w:bookmarkEnd w:id="1460"/>
    </w:p>
    <w:p>
      <w:pPr>
        <w:spacing w:before="0" w:after="0" w:afterAutospacing="0"/>
        <w:ind w:left="0" w:right="0" w:firstLine="420" w:firstLineChars="200"/>
        <w:outlineLvl w:val="1"/>
        <w:rPr>
          <w:rFonts w:ascii="宋体" w:hAnsi="宋体" w:cs="Arial"/>
          <w:color w:val="000000" w:themeColor="text1"/>
          <w:highlight w:val="none"/>
          <w14:textFill>
            <w14:solidFill>
              <w14:schemeClr w14:val="tx1"/>
            </w14:solidFill>
          </w14:textFill>
        </w:rPr>
      </w:pPr>
      <w:bookmarkStart w:id="1461" w:name="_Toc29067"/>
      <w:bookmarkStart w:id="1462" w:name="_Toc4698"/>
      <w:bookmarkStart w:id="1463" w:name="_Toc114134686"/>
      <w:r>
        <w:rPr>
          <w:rFonts w:hint="eastAsia" w:ascii="宋体" w:hAnsi="宋体" w:cs="Arial"/>
          <w:color w:val="000000" w:themeColor="text1"/>
          <w:highlight w:val="none"/>
          <w14:textFill>
            <w14:solidFill>
              <w14:schemeClr w14:val="tx1"/>
            </w14:solidFill>
          </w14:textFill>
        </w:rPr>
        <w:t>2.1对资格性和符合性检查合格的比选申请文件，进入技术、商务评审采用综合评分法进行评审。</w:t>
      </w:r>
      <w:r>
        <w:rPr>
          <w:rFonts w:hint="eastAsia"/>
          <w:color w:val="000000" w:themeColor="text1"/>
          <w:highlight w:val="none"/>
          <w14:textFill>
            <w14:solidFill>
              <w14:schemeClr w14:val="tx1"/>
            </w14:solidFill>
          </w14:textFill>
        </w:rPr>
        <w:t>满分</w:t>
      </w:r>
      <w:r>
        <w:rPr>
          <w:color w:val="000000" w:themeColor="text1"/>
          <w:highlight w:val="none"/>
          <w14:textFill>
            <w14:solidFill>
              <w14:schemeClr w14:val="tx1"/>
            </w14:solidFill>
          </w14:textFill>
        </w:rPr>
        <w:t>100</w:t>
      </w:r>
      <w:r>
        <w:rPr>
          <w:rFonts w:hint="eastAsia"/>
          <w:color w:val="000000" w:themeColor="text1"/>
          <w:highlight w:val="none"/>
          <w14:textFill>
            <w14:solidFill>
              <w14:schemeClr w14:val="tx1"/>
            </w14:solidFill>
          </w14:textFill>
        </w:rPr>
        <w:t>分，其中</w:t>
      </w:r>
      <w:r>
        <w:rPr>
          <w:rFonts w:hint="eastAsia"/>
          <w:b/>
          <w:color w:val="000000" w:themeColor="text1"/>
          <w:highlight w:val="none"/>
          <w14:textFill>
            <w14:solidFill>
              <w14:schemeClr w14:val="tx1"/>
            </w14:solidFill>
          </w14:textFill>
        </w:rPr>
        <w:t>技术得分</w:t>
      </w:r>
      <w:r>
        <w:rPr>
          <w:rFonts w:hint="eastAsia"/>
          <w:b/>
          <w:color w:val="000000" w:themeColor="text1"/>
          <w:highlight w:val="none"/>
          <w:lang w:val="en-US" w:eastAsia="zh-CN"/>
          <w14:textFill>
            <w14:solidFill>
              <w14:schemeClr w14:val="tx1"/>
            </w14:solidFill>
          </w14:textFill>
        </w:rPr>
        <w:t>60</w:t>
      </w:r>
      <w:r>
        <w:rPr>
          <w:rFonts w:hint="eastAsia"/>
          <w:b/>
          <w:color w:val="000000" w:themeColor="text1"/>
          <w:highlight w:val="none"/>
          <w14:textFill>
            <w14:solidFill>
              <w14:schemeClr w14:val="tx1"/>
            </w14:solidFill>
          </w14:textFill>
        </w:rPr>
        <w:t>分，价格得分</w:t>
      </w:r>
      <w:r>
        <w:rPr>
          <w:rFonts w:hint="eastAsia"/>
          <w:b/>
          <w:color w:val="000000" w:themeColor="text1"/>
          <w:highlight w:val="none"/>
          <w:lang w:val="en-US" w:eastAsia="zh-CN"/>
          <w14:textFill>
            <w14:solidFill>
              <w14:schemeClr w14:val="tx1"/>
            </w14:solidFill>
          </w14:textFill>
        </w:rPr>
        <w:t>40</w:t>
      </w:r>
      <w:r>
        <w:rPr>
          <w:rFonts w:hint="eastAsia"/>
          <w:b/>
          <w:color w:val="000000" w:themeColor="text1"/>
          <w:highlight w:val="none"/>
          <w14:textFill>
            <w14:solidFill>
              <w14:schemeClr w14:val="tx1"/>
            </w14:solidFill>
          </w14:textFill>
        </w:rPr>
        <w:t>分。</w:t>
      </w:r>
      <w:bookmarkEnd w:id="1461"/>
      <w:bookmarkEnd w:id="1462"/>
      <w:bookmarkEnd w:id="1463"/>
    </w:p>
    <w:p>
      <w:pPr>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2.2评审委员会将依照本比选文件相关要求，对照比选申请文件的应答进行比较，并对各比选申请文件的技术、商务内容进行评审打分。</w:t>
      </w:r>
    </w:p>
    <w:p>
      <w:pPr>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2.3如比选申请文件中有含义不明确，对同类问题表达不一致，或有明显的文字、数字计算错误的，评审小组可要求比选申请人进行必要的澄清、说明或补正，并详细记录，但不得改变比选申请文件的实质内容。评审小组对比选申请人提交的澄清、说明或补正有疑问的，可以要求比选申请人进一步澄清、说明或补正，直至满足比选评审小组的要求。如比选申请人拒绝接受澄清、说明或补正，该报价做无效报价处理。</w:t>
      </w:r>
    </w:p>
    <w:p>
      <w:pPr>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2.4总分=技术得分+价格得分。各项指标的分数计算四舍五入，取小数点后两位。计算比选申请人综合评分，并按照总分（综合得分）由高到低的顺序提出</w:t>
      </w:r>
      <w:r>
        <w:rPr>
          <w:rFonts w:ascii="宋体" w:hAnsi="宋体" w:cs="Arial"/>
          <w:color w:val="000000" w:themeColor="text1"/>
          <w:highlight w:val="none"/>
          <w14:textFill>
            <w14:solidFill>
              <w14:schemeClr w14:val="tx1"/>
            </w14:solidFill>
          </w14:textFill>
        </w:rPr>
        <w:t>1-</w:t>
      </w:r>
      <w:r>
        <w:rPr>
          <w:rFonts w:hint="eastAsia" w:ascii="宋体" w:hAnsi="宋体" w:cs="Arial"/>
          <w:color w:val="000000" w:themeColor="text1"/>
          <w:highlight w:val="none"/>
          <w14:textFill>
            <w14:solidFill>
              <w14:schemeClr w14:val="tx1"/>
            </w14:solidFill>
          </w14:textFill>
        </w:rPr>
        <w:t>3名中选候选人，并编写评审报告。</w:t>
      </w:r>
    </w:p>
    <w:p>
      <w:pPr>
        <w:spacing w:before="0" w:after="0" w:afterAutospacing="0"/>
        <w:ind w:left="0" w:right="0" w:firstLine="562" w:firstLineChars="200"/>
        <w:outlineLvl w:val="1"/>
        <w:rPr>
          <w:rFonts w:ascii="宋体" w:hAnsi="宋体" w:cs="Arial"/>
          <w:b/>
          <w:bCs/>
          <w:color w:val="000000" w:themeColor="text1"/>
          <w:sz w:val="28"/>
          <w:szCs w:val="28"/>
          <w:highlight w:val="none"/>
          <w14:textFill>
            <w14:solidFill>
              <w14:schemeClr w14:val="tx1"/>
            </w14:solidFill>
          </w14:textFill>
        </w:rPr>
      </w:pPr>
      <w:bookmarkStart w:id="1464" w:name="_Toc10199"/>
      <w:bookmarkStart w:id="1465" w:name="_Toc20465"/>
      <w:bookmarkStart w:id="1466" w:name="_Toc114134687"/>
      <w:r>
        <w:rPr>
          <w:rFonts w:hint="eastAsia" w:ascii="宋体" w:hAnsi="宋体" w:cs="Arial"/>
          <w:b/>
          <w:bCs/>
          <w:color w:val="000000" w:themeColor="text1"/>
          <w:sz w:val="28"/>
          <w:szCs w:val="28"/>
          <w:highlight w:val="none"/>
          <w14:textFill>
            <w14:solidFill>
              <w14:schemeClr w14:val="tx1"/>
            </w14:solidFill>
          </w14:textFill>
        </w:rPr>
        <w:t>三、评审流程</w:t>
      </w:r>
      <w:bookmarkEnd w:id="1464"/>
      <w:bookmarkEnd w:id="1465"/>
      <w:bookmarkEnd w:id="1466"/>
    </w:p>
    <w:p>
      <w:pPr>
        <w:tabs>
          <w:tab w:val="left" w:pos="567"/>
        </w:tabs>
        <w:spacing w:before="0" w:after="0" w:afterAutospacing="0"/>
        <w:ind w:left="422" w:right="0" w:firstLine="0"/>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3.1资格审查</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资格审查采用定性评审法，审查比选申请人是否符合法律、法规、规章及比选文件对企业资质、业绩和其他强制性标准，是否处于正常的经营状况等情况。</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在本阶段不符合任何一项资格评审标准的比选申请人将被比选人拒绝，不得进入下一阶段的评审。评审标准详见附表一《资格审查表》。</w:t>
      </w:r>
    </w:p>
    <w:p>
      <w:pPr>
        <w:tabs>
          <w:tab w:val="left" w:pos="567"/>
        </w:tabs>
        <w:spacing w:before="0" w:after="0" w:afterAutospacing="0"/>
        <w:ind w:left="422" w:right="0" w:firstLine="0"/>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3.2初步评审</w:t>
      </w:r>
    </w:p>
    <w:p>
      <w:pPr>
        <w:tabs>
          <w:tab w:val="left" w:pos="851"/>
        </w:tabs>
        <w:spacing w:before="0" w:after="0" w:afterAutospacing="0"/>
        <w:ind w:left="0" w:right="0" w:firstLine="420" w:firstLineChars="200"/>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（1）评审委员会将对比选申请文件的实质性内容进行初步评审，判定其内容是否真实、完整，是否满足比选文件要求并在实质性内容上予以响应。</w:t>
      </w:r>
    </w:p>
    <w:p>
      <w:pPr>
        <w:tabs>
          <w:tab w:val="left" w:pos="851"/>
        </w:tabs>
        <w:spacing w:before="0" w:after="0" w:afterAutospacing="0"/>
        <w:ind w:left="0" w:right="0" w:firstLine="420" w:firstLineChars="200"/>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2）如果比选申请文件实质性不响应比选文件的要求和条件的，评审委员会将判定为重大偏差并作否决比选申请处理，并且不允许比选申请人通过修正或撤销其不符要求的差异或保留，使之成为具有响应性的比选申请文件。</w:t>
      </w:r>
    </w:p>
    <w:p>
      <w:pPr>
        <w:tabs>
          <w:tab w:val="left" w:pos="851"/>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（3）</w:t>
      </w:r>
      <w:r>
        <w:rPr>
          <w:color w:val="000000" w:themeColor="text1"/>
          <w:highlight w:val="none"/>
          <w14:textFill>
            <w14:solidFill>
              <w14:schemeClr w14:val="tx1"/>
            </w14:solidFill>
          </w14:textFill>
        </w:rPr>
        <w:t>评审委员会</w:t>
      </w:r>
      <w:r>
        <w:rPr>
          <w:rFonts w:hAnsi="宋体"/>
          <w:color w:val="000000" w:themeColor="text1"/>
          <w:highlight w:val="none"/>
          <w14:textFill>
            <w14:solidFill>
              <w14:schemeClr w14:val="tx1"/>
            </w14:solidFill>
          </w14:textFill>
        </w:rPr>
        <w:t>根据</w:t>
      </w:r>
      <w:r>
        <w:rPr>
          <w:rFonts w:hint="eastAsia" w:hAnsi="宋体"/>
          <w:color w:val="000000" w:themeColor="text1"/>
          <w:highlight w:val="none"/>
          <w14:textFill>
            <w14:solidFill>
              <w14:schemeClr w14:val="tx1"/>
            </w14:solidFill>
          </w14:textFill>
        </w:rPr>
        <w:t>比选</w:t>
      </w:r>
      <w:r>
        <w:rPr>
          <w:rFonts w:hAnsi="宋体"/>
          <w:color w:val="000000" w:themeColor="text1"/>
          <w:highlight w:val="none"/>
          <w14:textFill>
            <w14:solidFill>
              <w14:schemeClr w14:val="tx1"/>
            </w14:solidFill>
          </w14:textFill>
        </w:rPr>
        <w:t>文件的要求对</w:t>
      </w:r>
      <w:r>
        <w:rPr>
          <w:rFonts w:hint="eastAsia" w:hAnsi="宋体"/>
          <w:color w:val="000000" w:themeColor="text1"/>
          <w:highlight w:val="none"/>
          <w14:textFill>
            <w14:solidFill>
              <w14:schemeClr w14:val="tx1"/>
            </w14:solidFill>
          </w14:textFill>
        </w:rPr>
        <w:t>比选申请</w:t>
      </w:r>
      <w:r>
        <w:rPr>
          <w:rFonts w:hAnsi="宋体"/>
          <w:color w:val="000000" w:themeColor="text1"/>
          <w:highlight w:val="none"/>
          <w14:textFill>
            <w14:solidFill>
              <w14:schemeClr w14:val="tx1"/>
            </w14:solidFill>
          </w14:textFill>
        </w:rPr>
        <w:t>人进行</w:t>
      </w:r>
      <w:r>
        <w:rPr>
          <w:rFonts w:hint="eastAsia" w:hAnsi="宋体"/>
          <w:color w:val="000000" w:themeColor="text1"/>
          <w:highlight w:val="none"/>
          <w14:textFill>
            <w14:solidFill>
              <w14:schemeClr w14:val="tx1"/>
            </w14:solidFill>
          </w14:textFill>
        </w:rPr>
        <w:t>符合性</w:t>
      </w:r>
      <w:r>
        <w:rPr>
          <w:rFonts w:hAnsi="宋体"/>
          <w:color w:val="000000" w:themeColor="text1"/>
          <w:highlight w:val="none"/>
          <w14:textFill>
            <w14:solidFill>
              <w14:schemeClr w14:val="tx1"/>
            </w14:solidFill>
          </w14:textFill>
        </w:rPr>
        <w:t>评审，未通过</w:t>
      </w:r>
      <w:r>
        <w:rPr>
          <w:rFonts w:hint="eastAsia" w:hAnsi="宋体"/>
          <w:color w:val="000000" w:themeColor="text1"/>
          <w:highlight w:val="none"/>
          <w14:textFill>
            <w14:solidFill>
              <w14:schemeClr w14:val="tx1"/>
            </w14:solidFill>
          </w14:textFill>
        </w:rPr>
        <w:t>符合性</w:t>
      </w:r>
      <w:r>
        <w:rPr>
          <w:rFonts w:hAnsi="宋体"/>
          <w:color w:val="000000" w:themeColor="text1"/>
          <w:highlight w:val="none"/>
          <w14:textFill>
            <w14:solidFill>
              <w14:schemeClr w14:val="tx1"/>
            </w14:solidFill>
          </w14:textFill>
        </w:rPr>
        <w:t>评审的</w:t>
      </w:r>
      <w:r>
        <w:rPr>
          <w:rFonts w:hint="eastAsia" w:hAnsi="宋体"/>
          <w:color w:val="000000" w:themeColor="text1"/>
          <w:highlight w:val="none"/>
          <w14:textFill>
            <w14:solidFill>
              <w14:schemeClr w14:val="tx1"/>
            </w14:solidFill>
          </w14:textFill>
        </w:rPr>
        <w:t>比选申请</w:t>
      </w:r>
      <w:r>
        <w:rPr>
          <w:rFonts w:hAnsi="宋体"/>
          <w:color w:val="000000" w:themeColor="text1"/>
          <w:highlight w:val="none"/>
          <w14:textFill>
            <w14:solidFill>
              <w14:schemeClr w14:val="tx1"/>
            </w14:solidFill>
          </w14:textFill>
        </w:rPr>
        <w:t>人不得进入下一阶段的评审。评审</w:t>
      </w:r>
      <w:r>
        <w:rPr>
          <w:rFonts w:hint="eastAsia" w:hAnsi="宋体"/>
          <w:color w:val="000000" w:themeColor="text1"/>
          <w:highlight w:val="none"/>
          <w14:textFill>
            <w14:solidFill>
              <w14:schemeClr w14:val="tx1"/>
            </w14:solidFill>
          </w14:textFill>
        </w:rPr>
        <w:t>标准</w:t>
      </w:r>
      <w:r>
        <w:rPr>
          <w:rFonts w:hAnsi="宋体"/>
          <w:color w:val="000000" w:themeColor="text1"/>
          <w:highlight w:val="none"/>
          <w14:textFill>
            <w14:solidFill>
              <w14:schemeClr w14:val="tx1"/>
            </w14:solidFill>
          </w14:textFill>
        </w:rPr>
        <w:t>见附表二《</w:t>
      </w:r>
      <w:r>
        <w:rPr>
          <w:rFonts w:hint="eastAsia" w:hAnsi="宋体"/>
          <w:color w:val="000000" w:themeColor="text1"/>
          <w:highlight w:val="none"/>
          <w14:textFill>
            <w14:solidFill>
              <w14:schemeClr w14:val="tx1"/>
            </w14:solidFill>
          </w14:textFill>
        </w:rPr>
        <w:t>符合性</w:t>
      </w:r>
      <w:r>
        <w:rPr>
          <w:rFonts w:hAnsi="宋体"/>
          <w:color w:val="000000" w:themeColor="text1"/>
          <w:highlight w:val="none"/>
          <w14:textFill>
            <w14:solidFill>
              <w14:schemeClr w14:val="tx1"/>
            </w14:solidFill>
          </w14:textFill>
        </w:rPr>
        <w:t>评审表》。</w:t>
      </w:r>
    </w:p>
    <w:p>
      <w:pPr>
        <w:tabs>
          <w:tab w:val="left" w:pos="851"/>
          <w:tab w:val="left" w:pos="1134"/>
        </w:tabs>
        <w:spacing w:before="0" w:after="0" w:afterAutospacing="0"/>
        <w:ind w:left="422" w:right="0" w:firstLine="0"/>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3.3详细评审</w:t>
      </w:r>
    </w:p>
    <w:p>
      <w:pPr>
        <w:tabs>
          <w:tab w:val="left" w:pos="851"/>
        </w:tabs>
        <w:spacing w:before="0" w:after="0" w:afterAutospacing="0"/>
        <w:ind w:left="0" w:right="0" w:firstLine="420" w:firstLineChars="200"/>
        <w:rPr>
          <w:rFonts w:hint="default" w:ascii="宋体" w:hAnsi="宋体" w:eastAsia="宋体"/>
          <w:color w:val="000000" w:themeColor="text1"/>
          <w:highlight w:val="yellow"/>
          <w:lang w:val="en-US" w:eastAsia="zh-CN"/>
          <w14:textFill>
            <w14:solidFill>
              <w14:schemeClr w14:val="tx1"/>
            </w14:solidFill>
          </w14:textFill>
        </w:rPr>
      </w:pPr>
      <w:r>
        <w:rPr>
          <w:rFonts w:hAnsi="宋体"/>
          <w:color w:val="000000" w:themeColor="text1"/>
          <w:highlight w:val="none"/>
          <w14:textFill>
            <w14:solidFill>
              <w14:schemeClr w14:val="tx1"/>
            </w14:solidFill>
          </w14:textFill>
        </w:rPr>
        <w:t>3.3.1</w:t>
      </w:r>
      <w:r>
        <w:rPr>
          <w:color w:val="000000" w:themeColor="text1"/>
          <w:highlight w:val="none"/>
          <w14:textFill>
            <w14:solidFill>
              <w14:schemeClr w14:val="tx1"/>
            </w14:solidFill>
          </w14:textFill>
        </w:rPr>
        <w:t>评审委员会</w:t>
      </w:r>
      <w:r>
        <w:rPr>
          <w:rFonts w:hint="eastAsia"/>
          <w:color w:val="000000" w:themeColor="text1"/>
          <w:highlight w:val="none"/>
          <w14:textFill>
            <w14:solidFill>
              <w14:schemeClr w14:val="tx1"/>
            </w14:solidFill>
          </w14:textFill>
        </w:rPr>
        <w:t>对通过初步评审的投标文件的技术文件进行详细评审</w:t>
      </w:r>
      <w:r>
        <w:rPr>
          <w:rFonts w:hint="eastAsia"/>
          <w:color w:val="000000" w:themeColor="text1"/>
          <w:highlight w:val="none"/>
          <w:lang w:eastAsia="zh-CN"/>
          <w14:textFill>
            <w14:solidFill>
              <w14:schemeClr w14:val="tx1"/>
            </w14:solidFill>
          </w14:textFill>
        </w:rPr>
        <w:t>。</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3.3.2</w:t>
      </w:r>
      <w:r>
        <w:rPr>
          <w:color w:val="000000" w:themeColor="text1"/>
          <w:highlight w:val="none"/>
          <w14:textFill>
            <w14:solidFill>
              <w14:schemeClr w14:val="tx1"/>
            </w14:solidFill>
          </w14:textFill>
        </w:rPr>
        <w:t>评审委员会</w:t>
      </w:r>
      <w:r>
        <w:rPr>
          <w:rFonts w:hint="eastAsia"/>
          <w:color w:val="000000" w:themeColor="text1"/>
          <w:highlight w:val="none"/>
          <w14:textFill>
            <w14:solidFill>
              <w14:schemeClr w14:val="tx1"/>
            </w14:solidFill>
          </w14:textFill>
        </w:rPr>
        <w:t>按照附表三《技术文件评分表》规定的量化因素和分值，对各比选申请人技术部分评审。各评委对比选申请人的各评分项评分累加后得出各评委的总得分。比选申请人技术得分取所有评委总得分的算术平均值（得分出现小数点，保留小数点后二位，第三位小数四舍五入）。</w:t>
      </w:r>
    </w:p>
    <w:p>
      <w:pPr>
        <w:tabs>
          <w:tab w:val="left" w:pos="851"/>
          <w:tab w:val="left" w:pos="1134"/>
        </w:tabs>
        <w:spacing w:before="0" w:after="0" w:afterAutospacing="0"/>
        <w:ind w:left="422" w:right="0" w:firstLine="0"/>
        <w:rPr>
          <w:rFonts w:hAnsi="宋体"/>
          <w:color w:val="000000" w:themeColor="text1"/>
          <w:highlight w:val="none"/>
          <w14:textFill>
            <w14:solidFill>
              <w14:schemeClr w14:val="tx1"/>
            </w14:solidFill>
          </w14:textFill>
        </w:rPr>
      </w:pPr>
      <w:r>
        <w:rPr>
          <w:rFonts w:hAnsi="宋体"/>
          <w:color w:val="000000" w:themeColor="text1"/>
          <w:highlight w:val="none"/>
          <w14:textFill>
            <w14:solidFill>
              <w14:schemeClr w14:val="tx1"/>
            </w14:solidFill>
          </w14:textFill>
        </w:rPr>
        <w:t>3.3.</w:t>
      </w:r>
      <w:r>
        <w:rPr>
          <w:rFonts w:hint="eastAsia" w:hAnsi="宋体"/>
          <w:color w:val="000000" w:themeColor="text1"/>
          <w:highlight w:val="none"/>
          <w14:textFill>
            <w14:solidFill>
              <w14:schemeClr w14:val="tx1"/>
            </w14:solidFill>
          </w14:textFill>
        </w:rPr>
        <w:t>3价格评审</w:t>
      </w:r>
    </w:p>
    <w:p>
      <w:pPr>
        <w:tabs>
          <w:tab w:val="left" w:pos="851"/>
          <w:tab w:val="left" w:pos="1134"/>
        </w:tabs>
        <w:spacing w:before="0" w:after="0" w:afterAutospacing="0"/>
        <w:ind w:left="942" w:leftChars="112" w:right="0" w:hanging="707" w:hangingChars="337"/>
        <w:jc w:val="left"/>
        <w:rPr>
          <w:rFonts w:hint="eastAsia" w:eastAsia="宋体"/>
          <w:color w:val="000000" w:themeColor="text1"/>
          <w:highlight w:val="none"/>
          <w:lang w:eastAsia="zh-CN"/>
          <w14:textFill>
            <w14:solidFill>
              <w14:schemeClr w14:val="tx1"/>
            </w14:solidFill>
          </w14:textFill>
        </w:rPr>
      </w:pPr>
      <w:r>
        <w:rPr>
          <w:rFonts w:hint="eastAsia"/>
          <w:color w:val="000000" w:themeColor="text1"/>
          <w:highlight w:val="none"/>
          <w14:textFill>
            <w14:solidFill>
              <w14:schemeClr w14:val="tx1"/>
            </w14:solidFill>
          </w14:textFill>
        </w:rPr>
        <w:t>3.3.3.1</w:t>
      </w:r>
      <w:r>
        <w:rPr>
          <w:color w:val="000000" w:themeColor="text1"/>
          <w:highlight w:val="none"/>
          <w14:textFill>
            <w14:solidFill>
              <w14:schemeClr w14:val="tx1"/>
            </w14:solidFill>
          </w14:textFill>
        </w:rPr>
        <w:t>评审委员会</w:t>
      </w:r>
      <w:r>
        <w:rPr>
          <w:rFonts w:hint="eastAsia"/>
          <w:color w:val="000000" w:themeColor="text1"/>
          <w:highlight w:val="none"/>
          <w14:textFill>
            <w14:solidFill>
              <w14:schemeClr w14:val="tx1"/>
            </w14:solidFill>
          </w14:textFill>
        </w:rPr>
        <w:t>对通过初步评审的投标文件的报价文件进行详细评审</w:t>
      </w:r>
      <w:r>
        <w:rPr>
          <w:rFonts w:hint="eastAsia"/>
          <w:color w:val="000000" w:themeColor="text1"/>
          <w:highlight w:val="none"/>
          <w:lang w:eastAsia="zh-CN"/>
          <w14:textFill>
            <w14:solidFill>
              <w14:schemeClr w14:val="tx1"/>
            </w14:solidFill>
          </w14:textFill>
        </w:rPr>
        <w:t>。</w:t>
      </w:r>
    </w:p>
    <w:p>
      <w:pPr>
        <w:tabs>
          <w:tab w:val="left" w:pos="851"/>
          <w:tab w:val="left" w:pos="1134"/>
        </w:tabs>
        <w:spacing w:before="0" w:after="0" w:afterAutospacing="0"/>
        <w:ind w:left="105" w:leftChars="50" w:right="0" w:firstLine="105" w:firstLineChars="50"/>
        <w:jc w:val="left"/>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3.3.3.2投标报价有算术错误的，评标委员会按以下原则对投标报价进行修正，修正的价格经比选申请人书面确认后具有约束力。比选申请人不接受修正价格的，其投标作否决投标处理：</w:t>
      </w:r>
    </w:p>
    <w:p>
      <w:pPr>
        <w:tabs>
          <w:tab w:val="left" w:pos="851"/>
          <w:tab w:val="left" w:pos="1134"/>
        </w:tabs>
        <w:spacing w:before="0" w:after="0" w:afterAutospacing="0"/>
        <w:ind w:left="105" w:leftChars="50" w:right="0" w:firstLine="105" w:firstLineChars="50"/>
        <w:jc w:val="left"/>
        <w:rPr>
          <w:rFonts w:cs="宋体"/>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 (1）比选申请</w:t>
      </w:r>
      <w:r>
        <w:rPr>
          <w:rFonts w:hint="eastAsia" w:cs="宋体"/>
          <w:color w:val="000000" w:themeColor="text1"/>
          <w:highlight w:val="none"/>
          <w14:textFill>
            <w14:solidFill>
              <w14:schemeClr w14:val="tx1"/>
            </w14:solidFill>
          </w14:textFill>
        </w:rPr>
        <w:t>文件中的大写金额与小写金额不一致的，以大写金额为准；</w:t>
      </w:r>
    </w:p>
    <w:p>
      <w:pPr>
        <w:tabs>
          <w:tab w:val="left" w:pos="851"/>
          <w:tab w:val="left" w:pos="1134"/>
        </w:tabs>
        <w:spacing w:before="0" w:after="0" w:afterAutospacing="0"/>
        <w:ind w:left="105" w:leftChars="50" w:right="0" w:firstLine="105" w:firstLineChars="50"/>
        <w:jc w:val="left"/>
        <w:rPr>
          <w:rFonts w:cs="宋体"/>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w:t>
      </w:r>
      <w:r>
        <w:rPr>
          <w:rFonts w:hint="eastAsia" w:cs="宋体"/>
          <w:color w:val="000000" w:themeColor="text1"/>
          <w:highlight w:val="none"/>
          <w14:textFill>
            <w14:solidFill>
              <w14:schemeClr w14:val="tx1"/>
            </w14:solidFill>
          </w14:textFill>
        </w:rPr>
        <w:t>总价金额与依据单价计算出的结果不一致的，以单价金额为准修正总价，但单价金额小数点有明显错误的除外；</w:t>
      </w:r>
    </w:p>
    <w:p>
      <w:pPr>
        <w:tabs>
          <w:tab w:val="left" w:pos="851"/>
          <w:tab w:val="left" w:pos="1134"/>
        </w:tabs>
        <w:spacing w:before="0" w:after="0" w:afterAutospacing="0"/>
        <w:ind w:left="105" w:leftChars="50" w:right="0" w:firstLine="210" w:firstLineChars="100"/>
        <w:jc w:val="left"/>
        <w:rPr>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(3)</w:t>
      </w:r>
      <w:r>
        <w:rPr>
          <w:rFonts w:hint="eastAsia"/>
          <w:color w:val="000000" w:themeColor="text1"/>
          <w:highlight w:val="none"/>
          <w14:textFill>
            <w14:solidFill>
              <w14:schemeClr w14:val="tx1"/>
            </w14:solidFill>
          </w14:textFill>
        </w:rPr>
        <w:t xml:space="preserve"> 修正后的最终比选申请报价超过上限控制价的比选申请文件作否决投标处理。修正后的分项报价超过分项控制价的比选申请文件作否决投标处理。如项目设有综合单价控制价的，修正后的综合单价超过综合单价控制价的比选申请文件作否决投标处理；</w:t>
      </w:r>
    </w:p>
    <w:p>
      <w:pPr>
        <w:tabs>
          <w:tab w:val="left" w:pos="851"/>
          <w:tab w:val="left" w:pos="1134"/>
        </w:tabs>
        <w:spacing w:before="0" w:after="0" w:afterAutospacing="0"/>
        <w:ind w:left="105" w:leftChars="50" w:right="0" w:firstLine="105" w:firstLineChars="50"/>
        <w:jc w:val="left"/>
        <w:rPr>
          <w:rFonts w:cs="宋体"/>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（4）若</w:t>
      </w:r>
      <w:r>
        <w:rPr>
          <w:color w:val="000000" w:themeColor="text1"/>
          <w:highlight w:val="none"/>
          <w14:textFill>
            <w14:solidFill>
              <w14:schemeClr w14:val="tx1"/>
            </w14:solidFill>
          </w14:textFill>
        </w:rPr>
        <w:t>修正后的总价</w:t>
      </w:r>
      <w:r>
        <w:rPr>
          <w:rFonts w:hint="eastAsia"/>
          <w:color w:val="000000" w:themeColor="text1"/>
          <w:highlight w:val="none"/>
          <w14:textFill>
            <w14:solidFill>
              <w14:schemeClr w14:val="tx1"/>
            </w14:solidFill>
          </w14:textFill>
        </w:rPr>
        <w:t>与</w:t>
      </w:r>
      <w:r>
        <w:rPr>
          <w:color w:val="000000" w:themeColor="text1"/>
          <w:highlight w:val="none"/>
          <w14:textFill>
            <w14:solidFill>
              <w14:schemeClr w14:val="tx1"/>
            </w14:solidFill>
          </w14:textFill>
        </w:rPr>
        <w:t>投标报价</w:t>
      </w:r>
      <w:r>
        <w:rPr>
          <w:rFonts w:hint="eastAsia"/>
          <w:color w:val="000000" w:themeColor="text1"/>
          <w:highlight w:val="none"/>
          <w14:textFill>
            <w14:solidFill>
              <w14:schemeClr w14:val="tx1"/>
            </w14:solidFill>
          </w14:textFill>
        </w:rPr>
        <w:t>不相等</w:t>
      </w:r>
      <w:r>
        <w:rPr>
          <w:color w:val="000000" w:themeColor="text1"/>
          <w:highlight w:val="none"/>
          <w14:textFill>
            <w14:solidFill>
              <w14:schemeClr w14:val="tx1"/>
            </w14:solidFill>
          </w14:textFill>
        </w:rPr>
        <w:t>，则</w:t>
      </w:r>
      <w:r>
        <w:rPr>
          <w:rFonts w:hint="eastAsia"/>
          <w:color w:val="000000" w:themeColor="text1"/>
          <w:highlight w:val="none"/>
          <w14:textFill>
            <w14:solidFill>
              <w14:schemeClr w14:val="tx1"/>
            </w14:solidFill>
          </w14:textFill>
        </w:rPr>
        <w:t>评标总价和</w:t>
      </w:r>
      <w:r>
        <w:rPr>
          <w:color w:val="000000" w:themeColor="text1"/>
          <w:highlight w:val="none"/>
          <w14:textFill>
            <w14:solidFill>
              <w14:schemeClr w14:val="tx1"/>
            </w14:solidFill>
          </w14:textFill>
        </w:rPr>
        <w:t>中标价</w:t>
      </w:r>
      <w:r>
        <w:rPr>
          <w:rFonts w:hint="eastAsia"/>
          <w:color w:val="000000" w:themeColor="text1"/>
          <w:highlight w:val="none"/>
          <w14:textFill>
            <w14:solidFill>
              <w14:schemeClr w14:val="tx1"/>
            </w14:solidFill>
          </w14:textFill>
        </w:rPr>
        <w:t>均</w:t>
      </w:r>
      <w:r>
        <w:rPr>
          <w:color w:val="000000" w:themeColor="text1"/>
          <w:highlight w:val="none"/>
          <w14:textFill>
            <w14:solidFill>
              <w14:schemeClr w14:val="tx1"/>
            </w14:solidFill>
          </w14:textFill>
        </w:rPr>
        <w:t>以</w:t>
      </w:r>
      <w:r>
        <w:rPr>
          <w:rFonts w:hint="eastAsia"/>
          <w:color w:val="000000" w:themeColor="text1"/>
          <w:highlight w:val="none"/>
          <w14:textFill>
            <w14:solidFill>
              <w14:schemeClr w14:val="tx1"/>
            </w14:solidFill>
          </w14:textFill>
        </w:rPr>
        <w:t>修正后的总价</w:t>
      </w:r>
      <w:r>
        <w:rPr>
          <w:color w:val="000000" w:themeColor="text1"/>
          <w:highlight w:val="none"/>
          <w14:textFill>
            <w14:solidFill>
              <w14:schemeClr w14:val="tx1"/>
            </w14:solidFill>
          </w14:textFill>
        </w:rPr>
        <w:t>为准，</w:t>
      </w:r>
      <w:r>
        <w:rPr>
          <w:rFonts w:hint="eastAsia"/>
          <w:color w:val="000000" w:themeColor="text1"/>
          <w:highlight w:val="none"/>
          <w14:textFill>
            <w14:solidFill>
              <w14:schemeClr w14:val="tx1"/>
            </w14:solidFill>
          </w14:textFill>
        </w:rPr>
        <w:t>如比选申请人不接受按以上规则确定的评标总价和中标价，则其投标将被拒绝。</w:t>
      </w:r>
    </w:p>
    <w:p>
      <w:pPr>
        <w:tabs>
          <w:tab w:val="left" w:pos="851"/>
          <w:tab w:val="left" w:pos="1134"/>
        </w:tabs>
        <w:spacing w:before="0" w:after="0" w:afterAutospacing="0"/>
        <w:ind w:left="105" w:leftChars="50" w:right="0" w:firstLine="105" w:firstLineChars="50"/>
        <w:jc w:val="left"/>
        <w:rPr>
          <w:rFonts w:cs="宋体"/>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3.3.3.3</w:t>
      </w:r>
      <w:r>
        <w:rPr>
          <w:rFonts w:hint="eastAsia"/>
          <w:color w:val="000000" w:themeColor="text1"/>
          <w:highlight w:val="none"/>
          <w14:textFill>
            <w14:solidFill>
              <w14:schemeClr w14:val="tx1"/>
            </w14:solidFill>
          </w14:textFill>
        </w:rPr>
        <w:t>出现下列情况的比选申请文件将予以否决：</w:t>
      </w:r>
    </w:p>
    <w:p>
      <w:pPr>
        <w:tabs>
          <w:tab w:val="left" w:pos="851"/>
          <w:tab w:val="left" w:pos="1134"/>
        </w:tabs>
        <w:spacing w:before="0" w:after="0" w:afterAutospacing="0"/>
        <w:ind w:left="105" w:leftChars="50" w:right="0" w:firstLine="105" w:firstLineChars="50"/>
        <w:jc w:val="left"/>
        <w:rPr>
          <w:bCs/>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t>评审委员会</w:t>
      </w:r>
      <w:r>
        <w:rPr>
          <w:rFonts w:hint="eastAsia"/>
          <w:bCs/>
          <w:color w:val="000000" w:themeColor="text1"/>
          <w:highlight w:val="none"/>
          <w14:textFill>
            <w14:solidFill>
              <w14:schemeClr w14:val="tx1"/>
            </w14:solidFill>
          </w14:textFill>
        </w:rPr>
        <w:t>发现比选申请人的报价明显低于其他比选申请报价，使得其投标报价可能低于其个别成本的，应当要求该比选申请人作出书面说明并提供相应的证明材料。比选申请人不能合理说明或者不能提供相应证明材料的，</w:t>
      </w:r>
      <w:r>
        <w:rPr>
          <w:color w:val="000000" w:themeColor="text1"/>
          <w:highlight w:val="none"/>
          <w14:textFill>
            <w14:solidFill>
              <w14:schemeClr w14:val="tx1"/>
            </w14:solidFill>
          </w14:textFill>
        </w:rPr>
        <w:t>评审</w:t>
      </w:r>
      <w:r>
        <w:rPr>
          <w:rFonts w:hint="eastAsia"/>
          <w:bCs/>
          <w:color w:val="000000" w:themeColor="text1"/>
          <w:highlight w:val="none"/>
          <w14:textFill>
            <w14:solidFill>
              <w14:schemeClr w14:val="tx1"/>
            </w14:solidFill>
          </w14:textFill>
        </w:rPr>
        <w:t>委员会应当认定该比选申请人以低于成本报价投标，否决其投标。</w:t>
      </w:r>
    </w:p>
    <w:p>
      <w:pPr>
        <w:tabs>
          <w:tab w:val="left" w:pos="851"/>
          <w:tab w:val="left" w:pos="1134"/>
        </w:tabs>
        <w:spacing w:before="0" w:after="0" w:afterAutospacing="0"/>
        <w:ind w:left="105" w:leftChars="50" w:right="0" w:firstLine="105" w:firstLineChars="50"/>
        <w:jc w:val="left"/>
        <w:rPr>
          <w:b/>
          <w:bCs/>
          <w:color w:val="000000" w:themeColor="text1"/>
          <w:highlight w:val="none"/>
          <w14:textFill>
            <w14:solidFill>
              <w14:schemeClr w14:val="tx1"/>
            </w14:solidFill>
          </w14:textFill>
        </w:rPr>
      </w:pPr>
      <w:r>
        <w:rPr>
          <w:rFonts w:hint="eastAsia"/>
          <w:bCs/>
          <w:color w:val="000000" w:themeColor="text1"/>
          <w:highlight w:val="none"/>
          <w14:textFill>
            <w14:solidFill>
              <w14:schemeClr w14:val="tx1"/>
            </w14:solidFill>
          </w14:textFill>
        </w:rPr>
        <w:t>（2）</w:t>
      </w:r>
      <w:bookmarkStart w:id="1467" w:name="_Hlk36511445"/>
      <w:r>
        <w:rPr>
          <w:rFonts w:hint="eastAsia"/>
          <w:b/>
          <w:bCs/>
          <w:color w:val="000000" w:themeColor="text1"/>
          <w:highlight w:val="none"/>
          <w14:textFill>
            <w14:solidFill>
              <w14:schemeClr w14:val="tx1"/>
            </w14:solidFill>
          </w14:textFill>
        </w:rPr>
        <w:t>投标报价清单如有漏项的投标文件，将予以否决。</w:t>
      </w:r>
      <w:bookmarkEnd w:id="1467"/>
    </w:p>
    <w:p>
      <w:pPr>
        <w:tabs>
          <w:tab w:val="left" w:pos="851"/>
          <w:tab w:val="left" w:pos="1134"/>
        </w:tabs>
        <w:spacing w:before="0" w:after="0" w:afterAutospacing="0"/>
        <w:ind w:left="105" w:leftChars="50" w:right="0" w:firstLine="105" w:firstLineChars="50"/>
        <w:jc w:val="left"/>
        <w:rPr>
          <w:color w:val="000000" w:themeColor="text1"/>
          <w:highlight w:val="none"/>
          <w14:textFill>
            <w14:solidFill>
              <w14:schemeClr w14:val="tx1"/>
            </w14:solidFill>
          </w14:textFill>
        </w:rPr>
      </w:pPr>
      <w:r>
        <w:rPr>
          <w:rFonts w:hint="eastAsia"/>
          <w:bCs/>
          <w:color w:val="000000" w:themeColor="text1"/>
          <w:highlight w:val="none"/>
          <w14:textFill>
            <w14:solidFill>
              <w14:schemeClr w14:val="tx1"/>
            </w14:solidFill>
          </w14:textFill>
        </w:rPr>
        <w:t>3.3.3.4</w:t>
      </w:r>
      <w:r>
        <w:rPr>
          <w:color w:val="000000" w:themeColor="text1"/>
          <w:highlight w:val="none"/>
          <w14:textFill>
            <w14:solidFill>
              <w14:schemeClr w14:val="tx1"/>
            </w14:solidFill>
          </w14:textFill>
        </w:rPr>
        <w:t>评审委员会</w:t>
      </w:r>
      <w:r>
        <w:rPr>
          <w:rFonts w:hint="eastAsia"/>
          <w:color w:val="000000" w:themeColor="text1"/>
          <w:highlight w:val="none"/>
          <w14:textFill>
            <w14:solidFill>
              <w14:schemeClr w14:val="tx1"/>
            </w14:solidFill>
          </w14:textFill>
        </w:rPr>
        <w:t>按照附表四《比选报价评分表》规定的量化因素和分值，对各比选申请人的投标报价评审，并计算出价格得分（得分出现小数点，保留小数点后二位，第三位小数四舍五入）。</w:t>
      </w:r>
    </w:p>
    <w:p>
      <w:pPr>
        <w:tabs>
          <w:tab w:val="left" w:pos="567"/>
        </w:tabs>
        <w:spacing w:before="0" w:after="0" w:afterAutospacing="0"/>
        <w:ind w:left="422" w:right="0" w:firstLine="0"/>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3.4</w:t>
      </w:r>
      <w:r>
        <w:rPr>
          <w:rFonts w:ascii="宋体" w:hAnsi="宋体"/>
          <w:b/>
          <w:color w:val="000000" w:themeColor="text1"/>
          <w:highlight w:val="none"/>
          <w14:textFill>
            <w14:solidFill>
              <w14:schemeClr w14:val="tx1"/>
            </w14:solidFill>
          </w14:textFill>
        </w:rPr>
        <w:t>澄清或补正</w:t>
      </w:r>
    </w:p>
    <w:p>
      <w:pPr>
        <w:tabs>
          <w:tab w:val="left" w:pos="851"/>
          <w:tab w:val="left" w:pos="1134"/>
        </w:tabs>
        <w:spacing w:before="0" w:after="0" w:afterAutospacing="0"/>
        <w:ind w:left="0" w:right="0" w:firstLine="420" w:firstLineChars="200"/>
        <w:jc w:val="left"/>
        <w:rPr>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w:t>
      </w:r>
      <w:r>
        <w:rPr>
          <w:rFonts w:hint="eastAsia"/>
          <w:color w:val="000000" w:themeColor="text1"/>
          <w:highlight w:val="none"/>
          <w14:textFill>
            <w14:solidFill>
              <w14:schemeClr w14:val="tx1"/>
            </w14:solidFill>
          </w14:textFill>
        </w:rPr>
        <w:t>4.1在评审阶段，评审委员会认为必要时，可书面通知比选申请人要求其澄清或补正比选申请文件中的问题，或者要求其补充某些资料。对此，比选申请人不得拒绝。</w:t>
      </w:r>
    </w:p>
    <w:p>
      <w:pPr>
        <w:tabs>
          <w:tab w:val="left" w:pos="851"/>
          <w:tab w:val="left" w:pos="1134"/>
        </w:tabs>
        <w:spacing w:before="0" w:after="0" w:afterAutospacing="0"/>
        <w:ind w:left="0" w:right="0" w:firstLine="420" w:firstLineChars="200"/>
        <w:jc w:val="left"/>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3.4.2</w:t>
      </w:r>
      <w:r>
        <w:rPr>
          <w:color w:val="000000" w:themeColor="text1"/>
          <w:highlight w:val="none"/>
          <w14:textFill>
            <w14:solidFill>
              <w14:schemeClr w14:val="tx1"/>
            </w14:solidFill>
          </w14:textFill>
        </w:rPr>
        <w:t>比选申请人须以书面形式提供澄清或补正文件，经评审委员会确认方可作为比选申请文件的组成部分。</w:t>
      </w:r>
    </w:p>
    <w:p>
      <w:pPr>
        <w:tabs>
          <w:tab w:val="left" w:pos="851"/>
          <w:tab w:val="left" w:pos="1134"/>
        </w:tabs>
        <w:spacing w:before="0" w:after="0" w:afterAutospacing="0"/>
        <w:ind w:left="0" w:right="0" w:firstLine="420" w:firstLineChars="200"/>
        <w:jc w:val="left"/>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3.4.3</w:t>
      </w:r>
      <w:r>
        <w:rPr>
          <w:color w:val="000000" w:themeColor="text1"/>
          <w:highlight w:val="none"/>
          <w14:textFill>
            <w14:solidFill>
              <w14:schemeClr w14:val="tx1"/>
            </w14:solidFill>
          </w14:textFill>
        </w:rPr>
        <w:t>比选申请人能够合理说明或提供有效证明资料的，评审委员会将予以采信，取消该疑问事项及对应的比选申请报价偏差；不能合理说明或者不能提供有效证明材料的，评审委员会将不予采信，该疑问事项及对应的比选申请报价偏差将确认成立，但其比选申请总价保持不变。</w:t>
      </w:r>
    </w:p>
    <w:p>
      <w:pPr>
        <w:tabs>
          <w:tab w:val="left" w:pos="851"/>
          <w:tab w:val="left" w:pos="1134"/>
        </w:tabs>
        <w:spacing w:before="0" w:after="0" w:afterAutospacing="0"/>
        <w:ind w:left="0" w:right="0" w:firstLine="420" w:firstLineChars="200"/>
        <w:jc w:val="left"/>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3.4.4</w:t>
      </w:r>
      <w:r>
        <w:rPr>
          <w:color w:val="000000" w:themeColor="text1"/>
          <w:highlight w:val="none"/>
          <w14:textFill>
            <w14:solidFill>
              <w14:schemeClr w14:val="tx1"/>
            </w14:solidFill>
          </w14:textFill>
        </w:rPr>
        <w:t>如果评审委员会对比选申请人提交的澄清、说明或补正依然存有疑问，可以对比选申请人进一步质疑。比选申请人应当相应地进一步澄清、说明或补正，直至评审委员会认为全部质疑得到解答。</w:t>
      </w:r>
    </w:p>
    <w:p>
      <w:pPr>
        <w:tabs>
          <w:tab w:val="left" w:pos="851"/>
          <w:tab w:val="left" w:pos="1134"/>
        </w:tabs>
        <w:spacing w:before="0" w:after="0" w:afterAutospacing="0"/>
        <w:ind w:left="0" w:right="0" w:firstLine="420" w:firstLineChars="200"/>
        <w:jc w:val="left"/>
        <w:rPr>
          <w:rFonts w:ascii="宋体" w:hAnsi="宋体"/>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3.4.5</w:t>
      </w:r>
      <w:r>
        <w:rPr>
          <w:color w:val="000000" w:themeColor="text1"/>
          <w:highlight w:val="none"/>
          <w14:textFill>
            <w14:solidFill>
              <w14:schemeClr w14:val="tx1"/>
            </w14:solidFill>
          </w14:textFill>
        </w:rPr>
        <w:t>比选申请人不得借澄清或补正问题的机会，与比选人及评审委员会私下接触或对原比选申请价和内容提出修改，但在评审中进行的初步修正，则不在</w:t>
      </w:r>
      <w:r>
        <w:rPr>
          <w:rFonts w:ascii="宋体" w:hAnsi="宋体"/>
          <w:color w:val="000000" w:themeColor="text1"/>
          <w:highlight w:val="none"/>
          <w14:textFill>
            <w14:solidFill>
              <w14:schemeClr w14:val="tx1"/>
            </w14:solidFill>
          </w14:textFill>
        </w:rPr>
        <w:t>此列。比选人不接受比选申请人主动提出的对比选申请文件的澄清或补正。</w:t>
      </w:r>
    </w:p>
    <w:p>
      <w:pPr>
        <w:spacing w:before="0" w:after="0" w:afterAutospacing="0"/>
        <w:ind w:left="0" w:right="0" w:firstLine="422" w:firstLineChars="200"/>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3.5</w:t>
      </w:r>
      <w:r>
        <w:rPr>
          <w:rFonts w:ascii="宋体" w:hAnsi="宋体"/>
          <w:b/>
          <w:color w:val="000000" w:themeColor="text1"/>
          <w:highlight w:val="none"/>
          <w14:textFill>
            <w14:solidFill>
              <w14:schemeClr w14:val="tx1"/>
            </w14:solidFill>
          </w14:textFill>
        </w:rPr>
        <w:t>评审报告</w:t>
      </w:r>
    </w:p>
    <w:p>
      <w:pPr>
        <w:tabs>
          <w:tab w:val="left" w:pos="993"/>
          <w:tab w:val="left" w:pos="113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w:t>
      </w:r>
      <w:r>
        <w:rPr>
          <w:rFonts w:ascii="宋体" w:hAnsi="宋体"/>
          <w:color w:val="000000" w:themeColor="text1"/>
          <w:highlight w:val="none"/>
          <w14:textFill>
            <w14:solidFill>
              <w14:schemeClr w14:val="tx1"/>
            </w14:solidFill>
          </w14:textFill>
        </w:rPr>
        <w:t>1</w:t>
      </w:r>
      <w:r>
        <w:rPr>
          <w:rFonts w:hint="eastAsia" w:ascii="宋体" w:hAnsi="宋体"/>
          <w:color w:val="000000" w:themeColor="text1"/>
          <w:highlight w:val="none"/>
          <w14:textFill>
            <w14:solidFill>
              <w14:schemeClr w14:val="tx1"/>
            </w14:solidFill>
          </w14:textFill>
        </w:rPr>
        <w:t>）评审委员会应根据评审情况和结果，向比选人提交评审报告。评审报告由评审委员会成员起草，按少数服从多数的原则通过。评审委员会全体成员应在评审报告上签字确认，评审专家如有保留意见可以在评审报告中阐明</w:t>
      </w:r>
      <w:r>
        <w:rPr>
          <w:rFonts w:ascii="宋体" w:hAnsi="宋体"/>
          <w:color w:val="000000" w:themeColor="text1"/>
          <w:highlight w:val="none"/>
          <w14:textFill>
            <w14:solidFill>
              <w14:schemeClr w14:val="tx1"/>
            </w14:solidFill>
          </w14:textFill>
        </w:rPr>
        <w:t>。</w:t>
      </w:r>
    </w:p>
    <w:p>
      <w:pPr>
        <w:tabs>
          <w:tab w:val="left" w:pos="851"/>
          <w:tab w:val="left" w:pos="993"/>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w:t>
      </w:r>
      <w:r>
        <w:rPr>
          <w:rFonts w:ascii="宋体" w:hAnsi="宋体"/>
          <w:color w:val="000000" w:themeColor="text1"/>
          <w:highlight w:val="none"/>
          <w14:textFill>
            <w14:solidFill>
              <w14:schemeClr w14:val="tx1"/>
            </w14:solidFill>
          </w14:textFill>
        </w:rPr>
        <w:t>2</w:t>
      </w:r>
      <w:r>
        <w:rPr>
          <w:rFonts w:hint="eastAsia" w:ascii="宋体" w:hAnsi="宋体"/>
          <w:color w:val="000000" w:themeColor="text1"/>
          <w:highlight w:val="none"/>
          <w14:textFill>
            <w14:solidFill>
              <w14:schemeClr w14:val="tx1"/>
            </w14:solidFill>
          </w14:textFill>
        </w:rPr>
        <w:t>）评审委员会根据</w:t>
      </w:r>
      <w:r>
        <w:rPr>
          <w:rFonts w:hint="eastAsia" w:cs="宋体"/>
          <w:color w:val="000000" w:themeColor="text1"/>
          <w:highlight w:val="none"/>
          <w14:textFill>
            <w14:solidFill>
              <w14:schemeClr w14:val="tx1"/>
            </w14:solidFill>
          </w14:textFill>
        </w:rPr>
        <w:t>综合评分由高到低顺序推荐中选候选人。综合评分相同时，则技术得分较高的排名靠前；如技术得分也相同，则价格得分较高的排名靠前；如价格得分也相同，</w:t>
      </w:r>
      <w:bookmarkStart w:id="1468" w:name="_Hlk31877730"/>
      <w:r>
        <w:rPr>
          <w:rFonts w:hint="eastAsia" w:cs="宋体"/>
          <w:color w:val="000000" w:themeColor="text1"/>
          <w:highlight w:val="none"/>
          <w14:textFill>
            <w14:solidFill>
              <w14:schemeClr w14:val="tx1"/>
            </w14:solidFill>
          </w14:textFill>
        </w:rPr>
        <w:t>则由评审委员会采用记名投票方式确定</w:t>
      </w:r>
      <w:bookmarkEnd w:id="1468"/>
      <w:r>
        <w:rPr>
          <w:rFonts w:hint="eastAsia" w:ascii="宋体" w:hAnsi="宋体"/>
          <w:color w:val="000000" w:themeColor="text1"/>
          <w:highlight w:val="none"/>
          <w14:textFill>
            <w14:solidFill>
              <w14:schemeClr w14:val="tx1"/>
            </w14:solidFill>
          </w14:textFill>
        </w:rPr>
        <w:t>其排名顺序。</w:t>
      </w:r>
    </w:p>
    <w:p>
      <w:pPr>
        <w:spacing w:before="0" w:after="0" w:afterAutospacing="0"/>
        <w:ind w:left="0" w:right="0" w:firstLine="422" w:firstLineChars="200"/>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3.6</w:t>
      </w:r>
      <w:r>
        <w:rPr>
          <w:rFonts w:ascii="宋体" w:hAnsi="宋体"/>
          <w:b/>
          <w:color w:val="000000" w:themeColor="text1"/>
          <w:highlight w:val="none"/>
          <w14:textFill>
            <w14:solidFill>
              <w14:schemeClr w14:val="tx1"/>
            </w14:solidFill>
          </w14:textFill>
        </w:rPr>
        <w:t>否决比选申请条件</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比选申请文件有下列情形之一的，评审委员会应按否决比选申请处理：</w:t>
      </w:r>
    </w:p>
    <w:p>
      <w:pPr>
        <w:tabs>
          <w:tab w:val="left" w:pos="1276"/>
        </w:tabs>
        <w:spacing w:before="0" w:after="0" w:afterAutospacing="0"/>
        <w:ind w:left="0" w:right="0" w:firstLine="422" w:firstLineChars="200"/>
        <w:jc w:val="left"/>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（1）不符合附表一《资格审查表》规定的；</w:t>
      </w:r>
    </w:p>
    <w:p>
      <w:pPr>
        <w:tabs>
          <w:tab w:val="left" w:pos="1276"/>
        </w:tabs>
        <w:spacing w:before="0" w:after="0" w:afterAutospacing="0"/>
        <w:ind w:left="0" w:right="0" w:firstLine="422" w:firstLineChars="200"/>
        <w:jc w:val="left"/>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（2）不符合附表二《符合性评审表》规定的；</w:t>
      </w:r>
    </w:p>
    <w:p>
      <w:pPr>
        <w:tabs>
          <w:tab w:val="left" w:pos="1276"/>
        </w:tabs>
        <w:spacing w:before="0" w:after="0" w:afterAutospacing="0"/>
        <w:ind w:left="0" w:right="0" w:firstLine="422" w:firstLineChars="200"/>
        <w:jc w:val="left"/>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（3）法定代表人未按规定出具授权委托书的(采用委托代理人形式的)；</w:t>
      </w:r>
    </w:p>
    <w:p>
      <w:pPr>
        <w:tabs>
          <w:tab w:val="left" w:pos="1276"/>
        </w:tabs>
        <w:spacing w:before="0" w:after="0" w:afterAutospacing="0"/>
        <w:ind w:left="0" w:right="0" w:firstLine="422" w:firstLineChars="200"/>
        <w:jc w:val="left"/>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（4）在比选申请文件中有虚假文件和/或资料的；</w:t>
      </w:r>
    </w:p>
    <w:p>
      <w:pPr>
        <w:tabs>
          <w:tab w:val="left" w:pos="1276"/>
        </w:tabs>
        <w:spacing w:before="0" w:after="0" w:afterAutospacing="0"/>
        <w:ind w:left="0" w:right="0" w:firstLine="422" w:firstLineChars="200"/>
        <w:jc w:val="left"/>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（5）比选申请文件中附有比选人不能接受的条件；</w:t>
      </w:r>
    </w:p>
    <w:p>
      <w:pPr>
        <w:tabs>
          <w:tab w:val="left" w:pos="1276"/>
        </w:tabs>
        <w:spacing w:before="0" w:after="0" w:afterAutospacing="0"/>
        <w:ind w:left="0" w:right="0" w:firstLine="422" w:firstLineChars="200"/>
        <w:jc w:val="left"/>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（6）比选申请文件实质上不响应比选文件的要求的；</w:t>
      </w:r>
    </w:p>
    <w:p>
      <w:pPr>
        <w:tabs>
          <w:tab w:val="left" w:pos="1276"/>
        </w:tabs>
        <w:spacing w:before="0" w:after="0" w:afterAutospacing="0"/>
        <w:ind w:left="0" w:right="0" w:firstLine="422" w:firstLineChars="200"/>
        <w:jc w:val="left"/>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 xml:space="preserve">（7）比选申请人以经评审委员会评审认定为低于成本的报价竞标； </w:t>
      </w:r>
    </w:p>
    <w:p>
      <w:pPr>
        <w:tabs>
          <w:tab w:val="left" w:pos="1276"/>
        </w:tabs>
        <w:spacing w:before="0" w:after="0" w:afterAutospacing="0"/>
        <w:ind w:left="0" w:right="0" w:firstLine="422" w:firstLineChars="200"/>
        <w:jc w:val="left"/>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（8）比选申请人扰乱会场秩序，经劝阻仍然无理取闹的；</w:t>
      </w:r>
    </w:p>
    <w:p>
      <w:pPr>
        <w:tabs>
          <w:tab w:val="left" w:pos="1276"/>
        </w:tabs>
        <w:spacing w:before="0" w:after="0" w:afterAutospacing="0"/>
        <w:ind w:left="0" w:right="0" w:firstLine="422" w:firstLineChars="200"/>
        <w:jc w:val="left"/>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（9）比选申请人未能按照评审委员会要求，对其比选申请文件进行澄清、说明和补正的；</w:t>
      </w:r>
    </w:p>
    <w:p>
      <w:pPr>
        <w:tabs>
          <w:tab w:val="left" w:pos="1276"/>
        </w:tabs>
        <w:spacing w:before="0" w:after="0" w:afterAutospacing="0"/>
        <w:ind w:left="0" w:right="0" w:firstLine="422" w:firstLineChars="200"/>
        <w:jc w:val="left"/>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（10）比选申请人以他人的名义比选申请、串通比选申请、以行贿手段谋取中选或者以其他弄虚作假方式比选申请的。</w:t>
      </w:r>
    </w:p>
    <w:p>
      <w:pPr>
        <w:tabs>
          <w:tab w:val="left" w:pos="1276"/>
        </w:tabs>
        <w:spacing w:before="0" w:after="0"/>
        <w:ind w:left="420" w:right="0" w:firstLine="0"/>
        <w:jc w:val="left"/>
        <w:rPr>
          <w:rFonts w:ascii="宋体" w:hAnsi="宋体"/>
          <w:b/>
          <w:color w:val="000000" w:themeColor="text1"/>
          <w:highlight w:val="none"/>
          <w14:textFill>
            <w14:solidFill>
              <w14:schemeClr w14:val="tx1"/>
            </w14:solidFill>
          </w14:textFill>
        </w:rPr>
        <w:sectPr>
          <w:pgSz w:w="11905" w:h="16838"/>
          <w:pgMar w:top="1418" w:right="1418" w:bottom="1304" w:left="1418" w:header="454" w:footer="567" w:gutter="0"/>
          <w:cols w:space="720" w:num="1"/>
          <w:docGrid w:linePitch="312" w:charSpace="0"/>
        </w:sectPr>
      </w:pPr>
    </w:p>
    <w:p>
      <w:pPr>
        <w:pStyle w:val="2"/>
        <w:spacing w:after="0" w:line="360" w:lineRule="auto"/>
        <w:ind w:right="-57" w:firstLine="0"/>
        <w:rPr>
          <w:color w:val="000000" w:themeColor="text1"/>
          <w:sz w:val="21"/>
          <w:szCs w:val="21"/>
          <w:highlight w:val="none"/>
          <w14:textFill>
            <w14:solidFill>
              <w14:schemeClr w14:val="tx1"/>
            </w14:solidFill>
          </w14:textFill>
        </w:rPr>
      </w:pPr>
      <w:bookmarkStart w:id="1469" w:name="_Toc29923"/>
      <w:bookmarkStart w:id="1470" w:name="_Toc414290583"/>
      <w:bookmarkStart w:id="1471" w:name="_Toc32021"/>
      <w:bookmarkStart w:id="1472" w:name="_Toc18096"/>
      <w:bookmarkStart w:id="1473" w:name="_Toc29245"/>
      <w:bookmarkStart w:id="1474" w:name="_Toc27271"/>
      <w:bookmarkStart w:id="1475" w:name="_Toc492478849"/>
      <w:bookmarkStart w:id="1476" w:name="_Toc20574"/>
      <w:bookmarkStart w:id="1477" w:name="_Toc25750694"/>
      <w:bookmarkStart w:id="1478" w:name="_Toc10968"/>
      <w:bookmarkStart w:id="1479" w:name="_Toc9189"/>
      <w:bookmarkStart w:id="1480" w:name="_Toc15224"/>
      <w:bookmarkStart w:id="1481" w:name="_Toc28404"/>
      <w:bookmarkStart w:id="1482" w:name="_Toc9730"/>
      <w:bookmarkStart w:id="1483" w:name="_Toc22464"/>
      <w:bookmarkStart w:id="1484" w:name="_Toc19557"/>
      <w:bookmarkStart w:id="1485" w:name="_Toc434"/>
      <w:bookmarkStart w:id="1486" w:name="_Toc16364"/>
      <w:bookmarkStart w:id="1487" w:name="_Toc23314"/>
      <w:bookmarkStart w:id="1488" w:name="_Toc9588"/>
      <w:bookmarkStart w:id="1489" w:name="_Toc114134688"/>
      <w:bookmarkStart w:id="1490" w:name="_Toc31611"/>
      <w:bookmarkStart w:id="1491" w:name="_Toc15073"/>
      <w:r>
        <w:rPr>
          <w:rFonts w:hint="eastAsia"/>
          <w:color w:val="000000" w:themeColor="text1"/>
          <w:sz w:val="21"/>
          <w:szCs w:val="21"/>
          <w:highlight w:val="none"/>
          <w14:textFill>
            <w14:solidFill>
              <w14:schemeClr w14:val="tx1"/>
            </w14:solidFill>
          </w14:textFill>
        </w:rPr>
        <w:t>附表一 资格审查表</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p>
    <w:p>
      <w:pPr>
        <w:snapToGrid w:val="0"/>
        <w:spacing w:before="0" w:line="360" w:lineRule="exact"/>
        <w:ind w:left="420" w:right="240" w:firstLine="0"/>
        <w:jc w:val="center"/>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资格审查表</w:t>
      </w:r>
    </w:p>
    <w:tbl>
      <w:tblPr>
        <w:tblStyle w:val="35"/>
        <w:tblW w:w="9260"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437"/>
        <w:gridCol w:w="741"/>
        <w:gridCol w:w="3067"/>
        <w:gridCol w:w="1425"/>
        <w:gridCol w:w="1087"/>
        <w:gridCol w:w="2503"/>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937" w:hRule="atLeast"/>
          <w:tblHeader/>
          <w:jc w:val="center"/>
        </w:trPr>
        <w:tc>
          <w:tcPr>
            <w:tcW w:w="437" w:type="dxa"/>
            <w:vAlign w:val="center"/>
          </w:tcPr>
          <w:p>
            <w:pPr>
              <w:spacing w:before="0" w:after="0" w:afterAutospacing="0" w:line="240" w:lineRule="auto"/>
              <w:ind w:left="0" w:right="0"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序号</w:t>
            </w:r>
          </w:p>
        </w:tc>
        <w:tc>
          <w:tcPr>
            <w:tcW w:w="741" w:type="dxa"/>
            <w:vAlign w:val="center"/>
          </w:tcPr>
          <w:p>
            <w:pPr>
              <w:spacing w:before="0" w:after="0" w:afterAutospacing="0" w:line="240" w:lineRule="auto"/>
              <w:ind w:left="0" w:right="0"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项目内容</w:t>
            </w:r>
          </w:p>
        </w:tc>
        <w:tc>
          <w:tcPr>
            <w:tcW w:w="3067" w:type="dxa"/>
            <w:vAlign w:val="center"/>
          </w:tcPr>
          <w:p>
            <w:pPr>
              <w:spacing w:before="0" w:after="0" w:afterAutospacing="0" w:line="240" w:lineRule="auto"/>
              <w:ind w:left="0" w:right="0"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合格条件标准</w:t>
            </w:r>
          </w:p>
        </w:tc>
        <w:tc>
          <w:tcPr>
            <w:tcW w:w="1425" w:type="dxa"/>
            <w:vAlign w:val="center"/>
          </w:tcPr>
          <w:p>
            <w:pPr>
              <w:spacing w:before="0" w:after="0" w:afterAutospacing="0" w:line="240" w:lineRule="auto"/>
              <w:ind w:left="0" w:right="0"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评审依据</w:t>
            </w:r>
          </w:p>
        </w:tc>
        <w:tc>
          <w:tcPr>
            <w:tcW w:w="1087" w:type="dxa"/>
            <w:vAlign w:val="center"/>
          </w:tcPr>
          <w:p>
            <w:pPr>
              <w:spacing w:before="0" w:after="0" w:afterAutospacing="0" w:line="240" w:lineRule="auto"/>
              <w:ind w:left="0" w:right="0"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评审结果（合格</w:t>
            </w:r>
            <w:r>
              <w:rPr>
                <w:rFonts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不合格）</w:t>
            </w:r>
          </w:p>
        </w:tc>
        <w:tc>
          <w:tcPr>
            <w:tcW w:w="2503" w:type="dxa"/>
            <w:vAlign w:val="center"/>
          </w:tcPr>
          <w:p>
            <w:pPr>
              <w:spacing w:before="0" w:after="0" w:afterAutospacing="0" w:line="240" w:lineRule="auto"/>
              <w:ind w:left="0" w:right="0"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备注</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858" w:hRule="atLeast"/>
          <w:jc w:val="center"/>
        </w:trPr>
        <w:tc>
          <w:tcPr>
            <w:tcW w:w="437"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1</w:t>
            </w:r>
          </w:p>
        </w:tc>
        <w:tc>
          <w:tcPr>
            <w:tcW w:w="741"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身份</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证明</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材料</w:t>
            </w:r>
          </w:p>
        </w:tc>
        <w:tc>
          <w:tcPr>
            <w:tcW w:w="3067"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法定代表人授权书及法定代表人资格证明书（如无授权时，只需提供法定代表人资格证明书）、法定代表人及被授权人身份证复印件。</w:t>
            </w:r>
          </w:p>
        </w:tc>
        <w:tc>
          <w:tcPr>
            <w:tcW w:w="1425"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法定代表人授权书，法定代表人资格证明书和身份证复印件</w:t>
            </w:r>
          </w:p>
        </w:tc>
        <w:tc>
          <w:tcPr>
            <w:tcW w:w="1087"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p>
        </w:tc>
        <w:tc>
          <w:tcPr>
            <w:tcW w:w="2503"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提供法定代表人授权书及法定代表人资格证明书（如无授权时，只需提供法定代表人资格证明书），法人及被授权人身份证复印件加盖公章。</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016" w:hRule="atLeast"/>
          <w:jc w:val="center"/>
        </w:trPr>
        <w:tc>
          <w:tcPr>
            <w:tcW w:w="437"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2</w:t>
            </w:r>
          </w:p>
        </w:tc>
        <w:tc>
          <w:tcPr>
            <w:tcW w:w="741"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申请人</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资格</w:t>
            </w:r>
          </w:p>
        </w:tc>
        <w:tc>
          <w:tcPr>
            <w:tcW w:w="3067" w:type="dxa"/>
            <w:vAlign w:val="center"/>
          </w:tcPr>
          <w:p>
            <w:pPr>
              <w:numPr>
                <w:ilvl w:val="0"/>
                <w:numId w:val="10"/>
              </w:numPr>
              <w:spacing w:before="0" w:after="0" w:afterAutospacing="0"/>
              <w:ind w:left="0" w:right="0" w:firstLine="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比选申请人为中华人民共和国境内依法设立的法人或其他组织。</w:t>
            </w:r>
          </w:p>
          <w:p>
            <w:pPr>
              <w:keepNext w:val="0"/>
              <w:keepLines w:val="0"/>
              <w:pageBreakBefore w:val="0"/>
              <w:widowControl/>
              <w:kinsoku/>
              <w:wordWrap/>
              <w:overflowPunct/>
              <w:topLinePunct w:val="0"/>
              <w:autoSpaceDE/>
              <w:autoSpaceDN/>
              <w:bidi w:val="0"/>
              <w:adjustRightInd/>
              <w:snapToGrid/>
              <w:spacing w:before="0" w:after="0" w:afterAutospacing="0"/>
              <w:ind w:left="0" w:right="0" w:firstLine="0"/>
              <w:jc w:val="left"/>
              <w:textAlignment w:val="auto"/>
              <w:rPr>
                <w:rFonts w:hint="eastAsia" w:ascii="宋体" w:hAnsi="宋体"/>
                <w:color w:val="000000" w:themeColor="text1"/>
                <w:highlight w:val="none"/>
                <w:lang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2、具备工程设计综合</w:t>
            </w:r>
            <w:r>
              <w:rPr>
                <w:rFonts w:hint="default" w:ascii="宋体" w:hAnsi="宋体"/>
                <w:color w:val="000000" w:themeColor="text1"/>
                <w:highlight w:val="none"/>
                <w:lang w:val="en-US" w:eastAsia="zh-CN"/>
                <w14:textFill>
                  <w14:solidFill>
                    <w14:schemeClr w14:val="tx1"/>
                  </w14:solidFill>
                </w14:textFill>
              </w:rPr>
              <w:t>甲级资质或者工程设计市政行业乙级及以上资质</w:t>
            </w:r>
            <w:r>
              <w:rPr>
                <w:rFonts w:hint="eastAsia" w:ascii="宋体" w:hAnsi="宋体"/>
                <w:color w:val="000000" w:themeColor="text1"/>
                <w:highlight w:val="none"/>
                <w:lang w:val="en-US" w:eastAsia="zh-CN"/>
                <w14:textFill>
                  <w14:solidFill>
                    <w14:schemeClr w14:val="tx1"/>
                  </w14:solidFill>
                </w14:textFill>
              </w:rPr>
              <w:t>。</w:t>
            </w:r>
          </w:p>
        </w:tc>
        <w:tc>
          <w:tcPr>
            <w:tcW w:w="1425"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营业执照副本或事业单位法人证书等证明文件复印件</w:t>
            </w:r>
          </w:p>
        </w:tc>
        <w:tc>
          <w:tcPr>
            <w:tcW w:w="1087"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p>
        </w:tc>
        <w:tc>
          <w:tcPr>
            <w:tcW w:w="2503"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比选申请人有效的营业执照或事业单位法人证书复印件等证明文件及资质证书复印件，并加盖公章。</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016" w:hRule="atLeast"/>
          <w:jc w:val="center"/>
        </w:trPr>
        <w:tc>
          <w:tcPr>
            <w:tcW w:w="437" w:type="dxa"/>
            <w:vAlign w:val="center"/>
          </w:tcPr>
          <w:p>
            <w:pPr>
              <w:spacing w:before="0" w:after="0" w:afterAutospacing="0"/>
              <w:ind w:left="0" w:right="0" w:firstLine="0"/>
              <w:rPr>
                <w:rFonts w:hint="eastAsia" w:ascii="宋体" w:hAnsi="宋体" w:eastAsia="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3</w:t>
            </w:r>
          </w:p>
        </w:tc>
        <w:tc>
          <w:tcPr>
            <w:tcW w:w="741" w:type="dxa"/>
            <w:vAlign w:val="center"/>
          </w:tcPr>
          <w:p>
            <w:pPr>
              <w:spacing w:before="0" w:after="0" w:afterAutospacing="0"/>
              <w:ind w:left="0" w:right="0" w:firstLine="0"/>
              <w:rPr>
                <w:rFonts w:hint="eastAsia" w:ascii="宋体" w:hAnsi="宋体" w:eastAsia="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人员要求</w:t>
            </w:r>
          </w:p>
        </w:tc>
        <w:tc>
          <w:tcPr>
            <w:tcW w:w="3067" w:type="dxa"/>
            <w:vAlign w:val="center"/>
          </w:tcPr>
          <w:p>
            <w:pPr>
              <w:keepNext w:val="0"/>
              <w:keepLines w:val="0"/>
              <w:pageBreakBefore w:val="0"/>
              <w:widowControl/>
              <w:kinsoku/>
              <w:wordWrap/>
              <w:overflowPunct/>
              <w:topLinePunct w:val="0"/>
              <w:autoSpaceDE/>
              <w:autoSpaceDN/>
              <w:bidi w:val="0"/>
              <w:adjustRightInd/>
              <w:snapToGrid/>
              <w:spacing w:before="0" w:after="0" w:afterAutospacing="0"/>
              <w:ind w:left="0" w:right="0" w:firstLine="0" w:firstLineChars="0"/>
              <w:jc w:val="left"/>
              <w:textAlignment w:val="auto"/>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项目负责人的资格要求具有工程相关专业中级职称（含）</w:t>
            </w:r>
            <w:r>
              <w:rPr>
                <w:rFonts w:hint="default" w:ascii="宋体" w:hAnsi="宋体"/>
                <w:color w:val="000000" w:themeColor="text1"/>
                <w:highlight w:val="none"/>
                <w:lang w:val="en-US" w:eastAsia="zh-CN"/>
                <w14:textFill>
                  <w14:solidFill>
                    <w14:schemeClr w14:val="tx1"/>
                  </w14:solidFill>
                </w14:textFill>
              </w:rPr>
              <w:t>以上</w:t>
            </w:r>
            <w:r>
              <w:rPr>
                <w:rFonts w:hint="eastAsia" w:ascii="宋体" w:hAnsi="宋体"/>
                <w:color w:val="000000" w:themeColor="text1"/>
                <w:highlight w:val="none"/>
                <w:lang w:val="en-US" w:eastAsia="zh-CN"/>
                <w14:textFill>
                  <w14:solidFill>
                    <w14:schemeClr w14:val="tx1"/>
                  </w14:solidFill>
                </w14:textFill>
              </w:rPr>
              <w:t>。</w:t>
            </w:r>
          </w:p>
        </w:tc>
        <w:tc>
          <w:tcPr>
            <w:tcW w:w="1425" w:type="dxa"/>
            <w:vAlign w:val="center"/>
          </w:tcPr>
          <w:p>
            <w:pPr>
              <w:spacing w:before="0" w:after="0" w:afterAutospacing="0"/>
              <w:ind w:left="0" w:right="0" w:firstLine="0"/>
              <w:rPr>
                <w:rFonts w:hint="default" w:ascii="宋体" w:hAnsi="宋体" w:eastAsia="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项目负责人职称证书复印件</w:t>
            </w:r>
          </w:p>
        </w:tc>
        <w:tc>
          <w:tcPr>
            <w:tcW w:w="1087"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p>
        </w:tc>
        <w:tc>
          <w:tcPr>
            <w:tcW w:w="2503" w:type="dxa"/>
            <w:vAlign w:val="center"/>
          </w:tcPr>
          <w:p>
            <w:pPr>
              <w:spacing w:before="0" w:after="0" w:afterAutospacing="0"/>
              <w:ind w:left="0" w:right="0" w:firstLine="0"/>
              <w:rPr>
                <w:rFonts w:hint="eastAsia" w:ascii="宋体" w:hAnsi="宋体"/>
                <w:color w:val="000000" w:themeColor="text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806" w:hRule="atLeast"/>
          <w:jc w:val="center"/>
        </w:trPr>
        <w:tc>
          <w:tcPr>
            <w:tcW w:w="437" w:type="dxa"/>
            <w:vAlign w:val="center"/>
          </w:tcPr>
          <w:p>
            <w:pPr>
              <w:spacing w:before="0" w:after="0" w:afterAutospacing="0"/>
              <w:ind w:left="0" w:leftChars="0" w:right="0" w:rightChars="0" w:firstLine="0" w:firstLineChars="0"/>
              <w:rPr>
                <w:rFonts w:hint="default" w:ascii="宋体" w:hAnsi="宋体" w:eastAsia="宋体" w:cs="Times New Roman"/>
                <w:color w:val="000000" w:themeColor="text1"/>
                <w:sz w:val="21"/>
                <w:szCs w:val="21"/>
                <w:highlight w:val="none"/>
                <w:lang w:val="en-US" w:eastAsia="zh-CN" w:bidi="ar-SA"/>
                <w14:textFill>
                  <w14:solidFill>
                    <w14:schemeClr w14:val="tx1"/>
                  </w14:solidFill>
                </w14:textFill>
              </w:rPr>
            </w:pPr>
            <w:r>
              <w:rPr>
                <w:rFonts w:hint="eastAsia" w:ascii="宋体" w:hAnsi="宋体" w:cs="Times New Roman"/>
                <w:color w:val="000000" w:themeColor="text1"/>
                <w:sz w:val="21"/>
                <w:szCs w:val="21"/>
                <w:highlight w:val="none"/>
                <w:lang w:val="en-US" w:eastAsia="zh-CN" w:bidi="ar-SA"/>
                <w14:textFill>
                  <w14:solidFill>
                    <w14:schemeClr w14:val="tx1"/>
                  </w14:solidFill>
                </w14:textFill>
              </w:rPr>
              <w:t>3</w:t>
            </w:r>
          </w:p>
        </w:tc>
        <w:tc>
          <w:tcPr>
            <w:tcW w:w="741"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业绩</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证明</w:t>
            </w:r>
          </w:p>
          <w:p>
            <w:pPr>
              <w:spacing w:before="0" w:after="0" w:afterAutospacing="0"/>
              <w:ind w:left="0" w:right="0" w:firstLine="0"/>
              <w:rPr>
                <w:rFonts w:ascii="宋体" w:hAnsi="宋体"/>
                <w:color w:val="000000" w:themeColor="text1"/>
                <w:highlight w:val="none"/>
                <w14:textFill>
                  <w14:solidFill>
                    <w14:schemeClr w14:val="tx1"/>
                  </w14:solidFill>
                </w14:textFill>
              </w:rPr>
            </w:pPr>
          </w:p>
        </w:tc>
        <w:tc>
          <w:tcPr>
            <w:tcW w:w="3067" w:type="dxa"/>
            <w:vAlign w:val="center"/>
          </w:tcPr>
          <w:p>
            <w:pPr>
              <w:keepNext w:val="0"/>
              <w:keepLines w:val="0"/>
              <w:pageBreakBefore w:val="0"/>
              <w:widowControl/>
              <w:kinsoku/>
              <w:wordWrap/>
              <w:overflowPunct/>
              <w:topLinePunct w:val="0"/>
              <w:autoSpaceDE/>
              <w:autoSpaceDN/>
              <w:bidi w:val="0"/>
              <w:adjustRightInd/>
              <w:snapToGrid/>
              <w:spacing w:before="0" w:after="0" w:afterAutospacing="0" w:line="240" w:lineRule="auto"/>
              <w:ind w:left="0" w:right="0" w:firstLine="0"/>
              <w:textAlignment w:val="auto"/>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比选申请人自2021年1月1日至比选申请截止时间前，承接过（完工/在建项目）1个及以上50万元（含）以上的市政工程设计项目。</w:t>
            </w:r>
          </w:p>
        </w:tc>
        <w:tc>
          <w:tcPr>
            <w:tcW w:w="1425"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相应的业绩证明材料</w:t>
            </w:r>
          </w:p>
        </w:tc>
        <w:tc>
          <w:tcPr>
            <w:tcW w:w="1087"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p>
        </w:tc>
        <w:tc>
          <w:tcPr>
            <w:tcW w:w="2503"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提供下述材料之一即可：①合同文件；②中标通知书。</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所提供的材料须能明确反映类似项目特征，复印件加盖比选申请人公章。</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437" w:type="dxa"/>
            <w:vAlign w:val="center"/>
          </w:tcPr>
          <w:p>
            <w:pPr>
              <w:spacing w:before="0" w:after="0" w:afterAutospacing="0"/>
              <w:ind w:left="0" w:right="0" w:firstLine="0"/>
              <w:rPr>
                <w:rFonts w:hint="default" w:ascii="宋体" w:hAnsi="宋体" w:eastAsia="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4</w:t>
            </w:r>
          </w:p>
        </w:tc>
        <w:tc>
          <w:tcPr>
            <w:tcW w:w="741"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承诺书</w:t>
            </w:r>
          </w:p>
        </w:tc>
        <w:tc>
          <w:tcPr>
            <w:tcW w:w="3067"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比选申请人没有处于被行政主管部门或业主取消比选申请资格的处罚期内，且没有处于被责令停业，财产被接管、破产状态；比选申请截止时间前3年内没有骗取中选、严重违约或重大质量安全责任事故的情况。</w:t>
            </w:r>
          </w:p>
        </w:tc>
        <w:tc>
          <w:tcPr>
            <w:tcW w:w="1425"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承诺书原件</w:t>
            </w:r>
          </w:p>
        </w:tc>
        <w:tc>
          <w:tcPr>
            <w:tcW w:w="1087"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p>
        </w:tc>
        <w:tc>
          <w:tcPr>
            <w:tcW w:w="2503"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按规定格式提供承诺书</w:t>
            </w:r>
          </w:p>
          <w:p>
            <w:pPr>
              <w:spacing w:before="0" w:after="0" w:afterAutospacing="0"/>
              <w:ind w:left="0" w:right="0" w:firstLine="0"/>
              <w:rPr>
                <w:rFonts w:ascii="宋体" w:hAnsi="宋体"/>
                <w:color w:val="000000" w:themeColor="text1"/>
                <w:highlight w:val="none"/>
                <w14:textFill>
                  <w14:solidFill>
                    <w14:schemeClr w14:val="tx1"/>
                  </w14:solidFill>
                </w14:textFill>
              </w:rPr>
            </w:pPr>
          </w:p>
        </w:tc>
      </w:tr>
    </w:tbl>
    <w:p>
      <w:pPr>
        <w:snapToGrid w:val="0"/>
        <w:spacing w:before="0" w:after="0" w:afterAutospacing="0" w:line="240" w:lineRule="auto"/>
        <w:ind w:left="0" w:right="0" w:firstLine="0"/>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注：</w:t>
      </w:r>
    </w:p>
    <w:p>
      <w:pPr>
        <w:snapToGrid w:val="0"/>
        <w:spacing w:before="0" w:after="0" w:afterAutospacing="0" w:line="240" w:lineRule="auto"/>
        <w:ind w:left="0" w:right="0" w:firstLine="0"/>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1.以上所有证明资料原件备查。</w:t>
      </w:r>
    </w:p>
    <w:p>
      <w:pPr>
        <w:snapToGrid w:val="0"/>
        <w:spacing w:before="0" w:after="0" w:afterAutospacing="0" w:line="240" w:lineRule="auto"/>
        <w:ind w:left="0" w:right="0" w:firstLine="0"/>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2.比选申请文件如未通过上述资格审查，则作比选申请被否决处理并不得进入下一阶段评审。</w:t>
      </w:r>
    </w:p>
    <w:p>
      <w:pP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br w:type="page"/>
      </w:r>
      <w:bookmarkStart w:id="1492" w:name="_Toc8865"/>
      <w:bookmarkStart w:id="1493" w:name="_Toc25750695"/>
      <w:bookmarkStart w:id="1494" w:name="_Toc114134689"/>
      <w:bookmarkStart w:id="1495" w:name="_Toc26041"/>
      <w:bookmarkStart w:id="1496" w:name="_Toc12983557"/>
      <w:bookmarkStart w:id="1497" w:name="_Toc5737"/>
      <w:bookmarkStart w:id="1498" w:name="_Toc6612"/>
      <w:bookmarkStart w:id="1499" w:name="_Toc19299"/>
      <w:bookmarkStart w:id="1500" w:name="_Toc191"/>
      <w:bookmarkStart w:id="1501" w:name="_Toc492478850"/>
      <w:bookmarkStart w:id="1502" w:name="_Toc22635"/>
      <w:bookmarkStart w:id="1503" w:name="_Toc12984826"/>
      <w:bookmarkStart w:id="1504" w:name="_Toc1459"/>
      <w:bookmarkStart w:id="1505" w:name="_Toc29670"/>
      <w:bookmarkStart w:id="1506" w:name="_Toc8945"/>
      <w:bookmarkStart w:id="1507" w:name="_Toc9343"/>
      <w:bookmarkStart w:id="1508" w:name="_Toc3409"/>
      <w:bookmarkStart w:id="1509" w:name="_Toc5811"/>
      <w:bookmarkStart w:id="1510" w:name="_Toc6102"/>
      <w:bookmarkStart w:id="1511" w:name="_Toc25123"/>
      <w:bookmarkStart w:id="1512" w:name="_Toc31487"/>
      <w:bookmarkStart w:id="1513" w:name="_Toc15103"/>
      <w:bookmarkStart w:id="1514" w:name="_Toc7852"/>
      <w:bookmarkStart w:id="1515" w:name="_Toc20215"/>
      <w:r>
        <w:rPr>
          <w:rFonts w:hint="eastAsia" w:ascii="宋体" w:hAnsi="宋体"/>
          <w:color w:val="000000" w:themeColor="text1"/>
          <w:highlight w:val="none"/>
          <w14:textFill>
            <w14:solidFill>
              <w14:schemeClr w14:val="tx1"/>
            </w14:solidFill>
          </w14:textFill>
        </w:rPr>
        <w:t>附表二 符合性评审表</w:t>
      </w:r>
      <w:bookmarkEnd w:id="1492"/>
      <w:bookmarkEnd w:id="1493"/>
      <w:bookmarkEnd w:id="1494"/>
      <w:bookmarkEnd w:id="1495"/>
    </w:p>
    <w:p>
      <w:pPr>
        <w:spacing w:before="0"/>
        <w:ind w:right="0" w:firstLine="0"/>
        <w:jc w:val="center"/>
        <w:rPr>
          <w:b/>
          <w:color w:val="000000" w:themeColor="text1"/>
          <w:sz w:val="24"/>
          <w:szCs w:val="24"/>
          <w:highlight w:val="none"/>
          <w14:textFill>
            <w14:solidFill>
              <w14:schemeClr w14:val="tx1"/>
            </w14:solidFill>
          </w14:textFill>
        </w:rPr>
      </w:pPr>
      <w:r>
        <w:rPr>
          <w:rFonts w:hint="eastAsia" w:hAnsi="宋体"/>
          <w:b/>
          <w:color w:val="000000" w:themeColor="text1"/>
          <w:sz w:val="24"/>
          <w:szCs w:val="24"/>
          <w:highlight w:val="none"/>
          <w14:textFill>
            <w14:solidFill>
              <w14:schemeClr w14:val="tx1"/>
            </w14:solidFill>
          </w14:textFill>
        </w:rPr>
        <w:t>符合性</w:t>
      </w:r>
      <w:r>
        <w:rPr>
          <w:rFonts w:hAnsi="宋体"/>
          <w:b/>
          <w:color w:val="000000" w:themeColor="text1"/>
          <w:sz w:val="24"/>
          <w:szCs w:val="24"/>
          <w:highlight w:val="none"/>
          <w14:textFill>
            <w14:solidFill>
              <w14:schemeClr w14:val="tx1"/>
            </w14:solidFill>
          </w14:textFill>
        </w:rPr>
        <w:t>评审表</w:t>
      </w:r>
    </w:p>
    <w:tbl>
      <w:tblPr>
        <w:tblStyle w:val="35"/>
        <w:tblW w:w="9003"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75"/>
        <w:gridCol w:w="6096"/>
        <w:gridCol w:w="1134"/>
        <w:gridCol w:w="1098"/>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502" w:hRule="atLeast"/>
          <w:tblHeader/>
          <w:jc w:val="center"/>
        </w:trPr>
        <w:tc>
          <w:tcPr>
            <w:tcW w:w="675" w:type="dxa"/>
            <w:tcBorders>
              <w:top w:val="single" w:color="auto" w:sz="12" w:space="0"/>
            </w:tcBorders>
            <w:vAlign w:val="center"/>
          </w:tcPr>
          <w:p>
            <w:pPr>
              <w:ind w:left="0" w:firstLine="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序号</w:t>
            </w:r>
          </w:p>
        </w:tc>
        <w:tc>
          <w:tcPr>
            <w:tcW w:w="6096" w:type="dxa"/>
            <w:tcBorders>
              <w:top w:val="single" w:color="auto" w:sz="12" w:space="0"/>
            </w:tcBorders>
            <w:vAlign w:val="center"/>
          </w:tcPr>
          <w:p>
            <w:pPr>
              <w:ind w:lef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评审项目</w:t>
            </w:r>
          </w:p>
        </w:tc>
        <w:tc>
          <w:tcPr>
            <w:tcW w:w="1134" w:type="dxa"/>
            <w:tcBorders>
              <w:top w:val="single" w:color="auto" w:sz="12" w:space="0"/>
            </w:tcBorders>
          </w:tcPr>
          <w:p>
            <w:pPr>
              <w:ind w:lef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评审结果</w:t>
            </w:r>
          </w:p>
        </w:tc>
        <w:tc>
          <w:tcPr>
            <w:tcW w:w="1098" w:type="dxa"/>
            <w:tcBorders>
              <w:top w:val="single" w:color="auto" w:sz="12" w:space="0"/>
            </w:tcBorders>
            <w:vAlign w:val="center"/>
          </w:tcPr>
          <w:p>
            <w:pPr>
              <w:ind w:lef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结论</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23" w:hRule="atLeast"/>
          <w:jc w:val="center"/>
        </w:trPr>
        <w:tc>
          <w:tcPr>
            <w:tcW w:w="675" w:type="dxa"/>
            <w:vAlign w:val="center"/>
          </w:tcPr>
          <w:p>
            <w:pPr>
              <w:ind w:left="0" w:firstLine="0"/>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tc>
        <w:tc>
          <w:tcPr>
            <w:tcW w:w="6096" w:type="dxa"/>
            <w:vAlign w:val="center"/>
          </w:tcPr>
          <w:p>
            <w:pPr>
              <w:ind w:lef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比选申请文件按要求在规定的位置签字（或盖章）并加盖比选申请人单位公章的</w:t>
            </w:r>
          </w:p>
        </w:tc>
        <w:tc>
          <w:tcPr>
            <w:tcW w:w="1134" w:type="dxa"/>
          </w:tcPr>
          <w:p>
            <w:pPr>
              <w:ind w:left="0" w:firstLine="0"/>
              <w:rPr>
                <w:color w:val="000000" w:themeColor="text1"/>
                <w:highlight w:val="none"/>
                <w14:textFill>
                  <w14:solidFill>
                    <w14:schemeClr w14:val="tx1"/>
                  </w14:solidFill>
                </w14:textFill>
              </w:rPr>
            </w:pPr>
          </w:p>
        </w:tc>
        <w:tc>
          <w:tcPr>
            <w:tcW w:w="1098" w:type="dxa"/>
            <w:vMerge w:val="restart"/>
            <w:vAlign w:val="center"/>
          </w:tcPr>
          <w:p>
            <w:pPr>
              <w:ind w:left="0" w:firstLine="0"/>
              <w:rPr>
                <w:color w:val="000000" w:themeColor="text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648" w:hRule="atLeast"/>
          <w:jc w:val="center"/>
        </w:trPr>
        <w:tc>
          <w:tcPr>
            <w:tcW w:w="675" w:type="dxa"/>
            <w:vAlign w:val="center"/>
          </w:tcPr>
          <w:p>
            <w:pPr>
              <w:ind w:left="0" w:firstLine="0"/>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tc>
        <w:tc>
          <w:tcPr>
            <w:tcW w:w="6096" w:type="dxa"/>
            <w:vAlign w:val="center"/>
          </w:tcPr>
          <w:p>
            <w:pPr>
              <w:ind w:lef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比选申请文件的实质性内容按规定填写、内容齐全的；（按比选文件第四章节规定格式填写的）</w:t>
            </w:r>
          </w:p>
        </w:tc>
        <w:tc>
          <w:tcPr>
            <w:tcW w:w="1134" w:type="dxa"/>
          </w:tcPr>
          <w:p>
            <w:pPr>
              <w:ind w:left="0" w:firstLine="0"/>
              <w:rPr>
                <w:color w:val="000000" w:themeColor="text1"/>
                <w:highlight w:val="none"/>
                <w14:textFill>
                  <w14:solidFill>
                    <w14:schemeClr w14:val="tx1"/>
                  </w14:solidFill>
                </w14:textFill>
              </w:rPr>
            </w:pPr>
          </w:p>
        </w:tc>
        <w:tc>
          <w:tcPr>
            <w:tcW w:w="1098" w:type="dxa"/>
            <w:vMerge w:val="continue"/>
            <w:vAlign w:val="center"/>
          </w:tcPr>
          <w:p>
            <w:pPr>
              <w:ind w:left="0" w:firstLine="0"/>
              <w:rPr>
                <w:color w:val="000000" w:themeColor="text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648" w:hRule="atLeast"/>
          <w:jc w:val="center"/>
        </w:trPr>
        <w:tc>
          <w:tcPr>
            <w:tcW w:w="675" w:type="dxa"/>
            <w:vAlign w:val="center"/>
          </w:tcPr>
          <w:p>
            <w:pPr>
              <w:ind w:left="0" w:firstLine="0"/>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w:t>
            </w:r>
          </w:p>
        </w:tc>
        <w:tc>
          <w:tcPr>
            <w:tcW w:w="6096" w:type="dxa"/>
            <w:vAlign w:val="center"/>
          </w:tcPr>
          <w:p>
            <w:pP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比选申请人在资格审查文件或技术文件中未透露</w:t>
            </w:r>
            <w:r>
              <w:rPr>
                <w:rFonts w:hint="eastAsia" w:ascii="宋体" w:hAnsi="宋体"/>
                <w:color w:val="000000" w:themeColor="text1"/>
                <w:highlight w:val="none"/>
                <w14:textFill>
                  <w14:solidFill>
                    <w14:schemeClr w14:val="tx1"/>
                  </w14:solidFill>
                </w14:textFill>
              </w:rPr>
              <w:t>有关</w:t>
            </w:r>
            <w:r>
              <w:rPr>
                <w:rFonts w:hint="eastAsia"/>
                <w:color w:val="000000" w:themeColor="text1"/>
                <w:highlight w:val="none"/>
                <w14:textFill>
                  <w14:solidFill>
                    <w14:schemeClr w14:val="tx1"/>
                  </w14:solidFill>
                </w14:textFill>
              </w:rPr>
              <w:t>报价的信息</w:t>
            </w:r>
          </w:p>
        </w:tc>
        <w:tc>
          <w:tcPr>
            <w:tcW w:w="1134" w:type="dxa"/>
          </w:tcPr>
          <w:p>
            <w:pPr>
              <w:ind w:left="0" w:firstLine="0"/>
              <w:rPr>
                <w:color w:val="000000" w:themeColor="text1"/>
                <w:highlight w:val="none"/>
                <w14:textFill>
                  <w14:solidFill>
                    <w14:schemeClr w14:val="tx1"/>
                  </w14:solidFill>
                </w14:textFill>
              </w:rPr>
            </w:pPr>
          </w:p>
        </w:tc>
        <w:tc>
          <w:tcPr>
            <w:tcW w:w="1098" w:type="dxa"/>
            <w:vMerge w:val="continue"/>
            <w:vAlign w:val="center"/>
          </w:tcPr>
          <w:p>
            <w:pPr>
              <w:ind w:left="0" w:firstLine="0"/>
              <w:rPr>
                <w:color w:val="000000" w:themeColor="text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37" w:hRule="atLeast"/>
          <w:jc w:val="center"/>
        </w:trPr>
        <w:tc>
          <w:tcPr>
            <w:tcW w:w="675" w:type="dxa"/>
            <w:vAlign w:val="center"/>
          </w:tcPr>
          <w:p>
            <w:pPr>
              <w:ind w:left="0" w:firstLine="0"/>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w:t>
            </w:r>
          </w:p>
        </w:tc>
        <w:tc>
          <w:tcPr>
            <w:tcW w:w="6096" w:type="dxa"/>
            <w:vAlign w:val="center"/>
          </w:tcPr>
          <w:p>
            <w:pPr>
              <w:ind w:lef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在比选申请文件中无虚假资料的</w:t>
            </w:r>
          </w:p>
        </w:tc>
        <w:tc>
          <w:tcPr>
            <w:tcW w:w="1134" w:type="dxa"/>
          </w:tcPr>
          <w:p>
            <w:pPr>
              <w:ind w:left="0" w:firstLine="0"/>
              <w:rPr>
                <w:color w:val="000000" w:themeColor="text1"/>
                <w:highlight w:val="none"/>
                <w14:textFill>
                  <w14:solidFill>
                    <w14:schemeClr w14:val="tx1"/>
                  </w14:solidFill>
                </w14:textFill>
              </w:rPr>
            </w:pPr>
          </w:p>
        </w:tc>
        <w:tc>
          <w:tcPr>
            <w:tcW w:w="1098" w:type="dxa"/>
            <w:vMerge w:val="continue"/>
            <w:vAlign w:val="center"/>
          </w:tcPr>
          <w:p>
            <w:pPr>
              <w:ind w:left="0" w:firstLine="0"/>
              <w:rPr>
                <w:color w:val="000000" w:themeColor="text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570" w:hRule="atLeast"/>
          <w:jc w:val="center"/>
        </w:trPr>
        <w:tc>
          <w:tcPr>
            <w:tcW w:w="675" w:type="dxa"/>
            <w:vAlign w:val="center"/>
          </w:tcPr>
          <w:p>
            <w:pPr>
              <w:ind w:left="0" w:firstLine="0"/>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w:t>
            </w:r>
          </w:p>
        </w:tc>
        <w:tc>
          <w:tcPr>
            <w:tcW w:w="6096" w:type="dxa"/>
            <w:vAlign w:val="center"/>
          </w:tcPr>
          <w:p>
            <w:pPr>
              <w:ind w:lef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技术部分响应无负偏离的</w:t>
            </w:r>
          </w:p>
        </w:tc>
        <w:tc>
          <w:tcPr>
            <w:tcW w:w="1134" w:type="dxa"/>
            <w:tcBorders>
              <w:bottom w:val="single" w:color="auto" w:sz="4" w:space="0"/>
            </w:tcBorders>
          </w:tcPr>
          <w:p>
            <w:pPr>
              <w:ind w:left="0" w:firstLine="0"/>
              <w:rPr>
                <w:color w:val="000000" w:themeColor="text1"/>
                <w:highlight w:val="none"/>
                <w14:textFill>
                  <w14:solidFill>
                    <w14:schemeClr w14:val="tx1"/>
                  </w14:solidFill>
                </w14:textFill>
              </w:rPr>
            </w:pPr>
          </w:p>
        </w:tc>
        <w:tc>
          <w:tcPr>
            <w:tcW w:w="1098" w:type="dxa"/>
            <w:vMerge w:val="continue"/>
            <w:vAlign w:val="center"/>
          </w:tcPr>
          <w:p>
            <w:pPr>
              <w:ind w:left="0" w:firstLine="0"/>
              <w:rPr>
                <w:color w:val="000000" w:themeColor="text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570" w:hRule="atLeast"/>
          <w:jc w:val="center"/>
        </w:trPr>
        <w:tc>
          <w:tcPr>
            <w:tcW w:w="675" w:type="dxa"/>
            <w:vAlign w:val="center"/>
          </w:tcPr>
          <w:p>
            <w:pPr>
              <w:ind w:left="0" w:firstLine="0"/>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w:t>
            </w:r>
          </w:p>
        </w:tc>
        <w:tc>
          <w:tcPr>
            <w:tcW w:w="6096" w:type="dxa"/>
            <w:vAlign w:val="center"/>
          </w:tcPr>
          <w:p>
            <w:pPr>
              <w:ind w:lef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商务响应表无负偏离的</w:t>
            </w:r>
          </w:p>
        </w:tc>
        <w:tc>
          <w:tcPr>
            <w:tcW w:w="1134" w:type="dxa"/>
            <w:tcBorders>
              <w:bottom w:val="single" w:color="auto" w:sz="4" w:space="0"/>
            </w:tcBorders>
          </w:tcPr>
          <w:p>
            <w:pPr>
              <w:ind w:left="0" w:firstLine="0"/>
              <w:rPr>
                <w:color w:val="000000" w:themeColor="text1"/>
                <w:highlight w:val="none"/>
                <w14:textFill>
                  <w14:solidFill>
                    <w14:schemeClr w14:val="tx1"/>
                  </w14:solidFill>
                </w14:textFill>
              </w:rPr>
            </w:pPr>
          </w:p>
        </w:tc>
        <w:tc>
          <w:tcPr>
            <w:tcW w:w="1098" w:type="dxa"/>
            <w:vMerge w:val="continue"/>
            <w:vAlign w:val="center"/>
          </w:tcPr>
          <w:p>
            <w:pPr>
              <w:ind w:left="0" w:firstLine="0"/>
              <w:rPr>
                <w:color w:val="000000" w:themeColor="text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37" w:hRule="atLeast"/>
          <w:jc w:val="center"/>
        </w:trPr>
        <w:tc>
          <w:tcPr>
            <w:tcW w:w="675" w:type="dxa"/>
            <w:vAlign w:val="center"/>
          </w:tcPr>
          <w:p>
            <w:pPr>
              <w:ind w:left="0" w:firstLine="0"/>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7</w:t>
            </w:r>
          </w:p>
        </w:tc>
        <w:tc>
          <w:tcPr>
            <w:tcW w:w="6096" w:type="dxa"/>
            <w:vAlign w:val="center"/>
          </w:tcPr>
          <w:p>
            <w:pPr>
              <w:ind w:left="0" w:firstLine="0"/>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符合</w:t>
            </w:r>
            <w:r>
              <w:rPr>
                <w:rFonts w:hint="eastAsia"/>
                <w:color w:val="000000" w:themeColor="text1"/>
                <w:highlight w:val="none"/>
                <w14:textFill>
                  <w14:solidFill>
                    <w14:schemeClr w14:val="tx1"/>
                  </w14:solidFill>
                </w14:textFill>
              </w:rPr>
              <w:t>比选文件、法律、法规规定的其他否决比选申请条件</w:t>
            </w:r>
          </w:p>
        </w:tc>
        <w:tc>
          <w:tcPr>
            <w:tcW w:w="1134" w:type="dxa"/>
          </w:tcPr>
          <w:p>
            <w:pPr>
              <w:ind w:left="0" w:firstLine="0"/>
              <w:rPr>
                <w:color w:val="000000" w:themeColor="text1"/>
                <w:highlight w:val="none"/>
                <w14:textFill>
                  <w14:solidFill>
                    <w14:schemeClr w14:val="tx1"/>
                  </w14:solidFill>
                </w14:textFill>
              </w:rPr>
            </w:pPr>
          </w:p>
        </w:tc>
        <w:tc>
          <w:tcPr>
            <w:tcW w:w="1098" w:type="dxa"/>
            <w:vMerge w:val="continue"/>
            <w:vAlign w:val="center"/>
          </w:tcPr>
          <w:p>
            <w:pPr>
              <w:ind w:left="0" w:firstLine="0"/>
              <w:rPr>
                <w:color w:val="000000" w:themeColor="text1"/>
                <w:highlight w:val="none"/>
                <w14:textFill>
                  <w14:solidFill>
                    <w14:schemeClr w14:val="tx1"/>
                  </w14:solidFill>
                </w14:textFill>
              </w:rPr>
            </w:pPr>
          </w:p>
        </w:tc>
      </w:tr>
    </w:tbl>
    <w:p>
      <w:pPr>
        <w:spacing w:before="0" w:after="0" w:afterAutospacing="0"/>
        <w:ind w:left="0" w:right="0" w:firstLine="0"/>
        <w:jc w:val="left"/>
        <w:rPr>
          <w:color w:val="000000" w:themeColor="text1"/>
          <w:sz w:val="24"/>
          <w:szCs w:val="24"/>
          <w:highlight w:val="none"/>
          <w14:textFill>
            <w14:solidFill>
              <w14:schemeClr w14:val="tx1"/>
            </w14:solidFill>
          </w14:textFill>
        </w:rPr>
      </w:pPr>
      <w:r>
        <w:rPr>
          <w:rFonts w:hAnsi="宋体"/>
          <w:color w:val="000000" w:themeColor="text1"/>
          <w:highlight w:val="none"/>
          <w14:textFill>
            <w14:solidFill>
              <w14:schemeClr w14:val="tx1"/>
            </w14:solidFill>
          </w14:textFill>
        </w:rPr>
        <w:t>注：</w:t>
      </w:r>
      <w:r>
        <w:rPr>
          <w:rFonts w:hint="eastAsia" w:hAnsi="宋体"/>
          <w:color w:val="000000" w:themeColor="text1"/>
          <w:highlight w:val="none"/>
          <w14:textFill>
            <w14:solidFill>
              <w14:schemeClr w14:val="tx1"/>
            </w14:solidFill>
          </w14:textFill>
        </w:rPr>
        <w:t>1.</w:t>
      </w:r>
      <w:r>
        <w:rPr>
          <w:rFonts w:hAnsi="宋体"/>
          <w:color w:val="000000" w:themeColor="text1"/>
          <w:highlight w:val="none"/>
          <w14:textFill>
            <w14:solidFill>
              <w14:schemeClr w14:val="tx1"/>
            </w14:solidFill>
          </w14:textFill>
        </w:rPr>
        <w:t>评审结果填写合格打</w:t>
      </w:r>
      <w:r>
        <w:rPr>
          <w:color w:val="000000" w:themeColor="text1"/>
          <w:highlight w:val="none"/>
          <w14:textFill>
            <w14:solidFill>
              <w14:schemeClr w14:val="tx1"/>
            </w14:solidFill>
          </w14:textFill>
        </w:rPr>
        <w:t>√</w:t>
      </w:r>
      <w:r>
        <w:rPr>
          <w:rFonts w:hAnsi="宋体"/>
          <w:color w:val="000000" w:themeColor="text1"/>
          <w:highlight w:val="none"/>
          <w14:textFill>
            <w14:solidFill>
              <w14:schemeClr w14:val="tx1"/>
            </w14:solidFill>
          </w14:textFill>
        </w:rPr>
        <w:t>，不合格打</w:t>
      </w:r>
      <w:r>
        <w:rPr>
          <w:color w:val="000000" w:themeColor="text1"/>
          <w:highlight w:val="none"/>
          <w14:textFill>
            <w14:solidFill>
              <w14:schemeClr w14:val="tx1"/>
            </w14:solidFill>
          </w14:textFill>
        </w:rPr>
        <w:t>×</w:t>
      </w:r>
      <w:r>
        <w:rPr>
          <w:rFonts w:hAnsi="宋体"/>
          <w:color w:val="000000" w:themeColor="text1"/>
          <w:highlight w:val="none"/>
          <w14:textFill>
            <w14:solidFill>
              <w14:schemeClr w14:val="tx1"/>
            </w14:solidFill>
          </w14:textFill>
        </w:rPr>
        <w:t>，凡评审结果有一项不合格者，结论为不通过。</w:t>
      </w:r>
    </w:p>
    <w:p>
      <w:pPr>
        <w:spacing w:before="0"/>
        <w:ind w:right="0" w:firstLine="0"/>
        <w:jc w:val="center"/>
        <w:rPr>
          <w:rFonts w:hAnsi="宋体"/>
          <w:b/>
          <w:color w:val="000000" w:themeColor="text1"/>
          <w:sz w:val="24"/>
          <w:szCs w:val="24"/>
          <w:highlight w:val="none"/>
          <w14:textFill>
            <w14:solidFill>
              <w14:schemeClr w14:val="tx1"/>
            </w14:solidFill>
          </w14:textFill>
        </w:rPr>
      </w:pPr>
    </w:p>
    <w:p>
      <w:pPr>
        <w:spacing w:before="0"/>
        <w:ind w:right="0" w:firstLine="0"/>
        <w:jc w:val="center"/>
        <w:rPr>
          <w:rFonts w:hAnsi="宋体"/>
          <w:b/>
          <w:color w:val="000000" w:themeColor="text1"/>
          <w:sz w:val="24"/>
          <w:szCs w:val="24"/>
          <w:highlight w:val="none"/>
          <w14:textFill>
            <w14:solidFill>
              <w14:schemeClr w14:val="tx1"/>
            </w14:solidFill>
          </w14:textFill>
        </w:rPr>
      </w:pPr>
      <w:r>
        <w:rPr>
          <w:color w:val="000000" w:themeColor="text1"/>
          <w:highlight w:val="none"/>
          <w14:textFill>
            <w14:solidFill>
              <w14:schemeClr w14:val="tx1"/>
            </w14:solidFill>
          </w14:textFill>
        </w:rPr>
        <w:br w:type="page"/>
      </w:r>
    </w:p>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p>
      <w:pPr>
        <w:spacing w:before="0" w:after="0" w:afterAutospacing="0" w:line="240" w:lineRule="auto"/>
        <w:ind w:left="0" w:right="0" w:firstLine="0"/>
        <w:jc w:val="left"/>
        <w:rPr>
          <w:rFonts w:ascii="宋体" w:hAnsi="宋体"/>
          <w:b/>
          <w:color w:val="000000" w:themeColor="text1"/>
          <w:highlight w:val="none"/>
          <w14:textFill>
            <w14:solidFill>
              <w14:schemeClr w14:val="tx1"/>
            </w14:solidFill>
          </w14:textFill>
        </w:rPr>
        <w:sectPr>
          <w:footerReference r:id="rId18" w:type="default"/>
          <w:pgSz w:w="11905" w:h="16838"/>
          <w:pgMar w:top="1418" w:right="1418" w:bottom="1418" w:left="1418" w:header="454" w:footer="567" w:gutter="0"/>
          <w:cols w:space="720" w:num="1"/>
          <w:docGrid w:linePitch="319" w:charSpace="0"/>
        </w:sectPr>
      </w:pPr>
    </w:p>
    <w:p>
      <w:pPr>
        <w:spacing w:before="0" w:after="0"/>
        <w:ind w:left="0" w:right="0" w:firstLine="0"/>
        <w:rPr>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附表三《技术文件评分表》</w:t>
      </w:r>
    </w:p>
    <w:tbl>
      <w:tblPr>
        <w:tblStyle w:val="35"/>
        <w:tblW w:w="0" w:type="auto"/>
        <w:jc w:val="center"/>
        <w:tblLayout w:type="fixed"/>
        <w:tblCellMar>
          <w:top w:w="0" w:type="dxa"/>
          <w:left w:w="108" w:type="dxa"/>
          <w:bottom w:w="0" w:type="dxa"/>
          <w:right w:w="108" w:type="dxa"/>
        </w:tblCellMar>
      </w:tblPr>
      <w:tblGrid>
        <w:gridCol w:w="636"/>
        <w:gridCol w:w="1686"/>
        <w:gridCol w:w="1161"/>
        <w:gridCol w:w="4817"/>
        <w:gridCol w:w="986"/>
      </w:tblGrid>
      <w:tr>
        <w:tblPrEx>
          <w:tblCellMar>
            <w:top w:w="0" w:type="dxa"/>
            <w:left w:w="108" w:type="dxa"/>
            <w:bottom w:w="0" w:type="dxa"/>
            <w:right w:w="108" w:type="dxa"/>
          </w:tblCellMar>
        </w:tblPrEx>
        <w:trPr>
          <w:trHeight w:val="58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序号</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评审项目和内容</w:t>
            </w:r>
          </w:p>
        </w:tc>
        <w:tc>
          <w:tcPr>
            <w:tcW w:w="11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标准分</w:t>
            </w:r>
          </w:p>
        </w:tc>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评审标准</w:t>
            </w:r>
          </w:p>
        </w:tc>
        <w:tc>
          <w:tcPr>
            <w:tcW w:w="9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备注</w:t>
            </w:r>
          </w:p>
        </w:tc>
      </w:tr>
      <w:tr>
        <w:tblPrEx>
          <w:tblCellMar>
            <w:top w:w="0" w:type="dxa"/>
            <w:left w:w="108" w:type="dxa"/>
            <w:bottom w:w="0" w:type="dxa"/>
            <w:right w:w="108" w:type="dxa"/>
          </w:tblCellMar>
        </w:tblPrEx>
        <w:trPr>
          <w:trHeight w:val="883" w:hRule="atLeast"/>
          <w:jc w:val="center"/>
        </w:trPr>
        <w:tc>
          <w:tcPr>
            <w:tcW w:w="636" w:type="dxa"/>
            <w:tcBorders>
              <w:top w:val="single" w:color="000000" w:sz="4" w:space="0"/>
              <w:left w:val="single" w:color="000000" w:sz="4" w:space="0"/>
              <w:right w:val="single" w:color="000000" w:sz="4" w:space="0"/>
            </w:tcBorders>
            <w:shd w:val="clear" w:color="auto" w:fill="auto"/>
            <w:noWrap/>
            <w:vAlign w:val="center"/>
          </w:tcPr>
          <w:p>
            <w:pPr>
              <w:jc w:val="center"/>
              <w:textAlignment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1</w:t>
            </w:r>
          </w:p>
        </w:tc>
        <w:tc>
          <w:tcPr>
            <w:tcW w:w="16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0" w:after="0" w:afterAutospacing="0"/>
              <w:ind w:left="0" w:right="0" w:firstLine="0"/>
              <w:jc w:val="center"/>
              <w:textAlignment w:val="center"/>
              <w:rPr>
                <w:rFonts w:ascii="宋体" w:hAnsi="宋体" w:cs="宋体"/>
                <w:b/>
                <w:bCs/>
                <w:color w:val="000000" w:themeColor="text1"/>
                <w:sz w:val="18"/>
                <w:szCs w:val="18"/>
                <w:highlight w:val="none"/>
                <w14:textFill>
                  <w14:solidFill>
                    <w14:schemeClr w14:val="tx1"/>
                  </w14:solidFill>
                </w14:textFill>
              </w:rPr>
            </w:pPr>
            <w:r>
              <w:rPr>
                <w:rFonts w:hint="eastAsia" w:ascii="宋体" w:hAnsi="宋体" w:cs="宋体"/>
                <w:b/>
                <w:bCs/>
                <w:color w:val="000000" w:themeColor="text1"/>
                <w:sz w:val="18"/>
                <w:szCs w:val="18"/>
                <w:highlight w:val="none"/>
                <w:lang w:bidi="ar"/>
                <w14:textFill>
                  <w14:solidFill>
                    <w14:schemeClr w14:val="tx1"/>
                  </w14:solidFill>
                </w14:textFill>
              </w:rPr>
              <w:t>人员配置</w:t>
            </w:r>
            <w:r>
              <w:rPr>
                <w:rFonts w:hint="eastAsia" w:ascii="宋体" w:hAnsi="宋体" w:cs="宋体"/>
                <w:b/>
                <w:bCs/>
                <w:color w:val="000000" w:themeColor="text1"/>
                <w:sz w:val="18"/>
                <w:szCs w:val="18"/>
                <w:highlight w:val="none"/>
                <w:lang w:bidi="ar"/>
                <w14:textFill>
                  <w14:solidFill>
                    <w14:schemeClr w14:val="tx1"/>
                  </w14:solidFill>
                </w14:textFill>
              </w:rPr>
              <w:br w:type="textWrapping"/>
            </w:r>
            <w:r>
              <w:rPr>
                <w:rFonts w:hint="eastAsia" w:ascii="宋体" w:hAnsi="宋体" w:cs="宋体"/>
                <w:b/>
                <w:bCs/>
                <w:color w:val="000000" w:themeColor="text1"/>
                <w:sz w:val="18"/>
                <w:szCs w:val="18"/>
                <w:highlight w:val="none"/>
                <w:lang w:bidi="ar"/>
                <w14:textFill>
                  <w14:solidFill>
                    <w14:schemeClr w14:val="tx1"/>
                  </w14:solidFill>
                </w14:textFill>
              </w:rPr>
              <w:t>（</w:t>
            </w:r>
            <w:r>
              <w:rPr>
                <w:rFonts w:hint="eastAsia" w:ascii="宋体" w:hAnsi="宋体" w:cs="宋体"/>
                <w:b/>
                <w:bCs/>
                <w:color w:val="000000" w:themeColor="text1"/>
                <w:sz w:val="18"/>
                <w:szCs w:val="18"/>
                <w:highlight w:val="none"/>
                <w:lang w:val="en-US" w:eastAsia="zh-CN" w:bidi="ar"/>
                <w14:textFill>
                  <w14:solidFill>
                    <w14:schemeClr w14:val="tx1"/>
                  </w14:solidFill>
                </w14:textFill>
              </w:rPr>
              <w:t>15</w:t>
            </w:r>
            <w:r>
              <w:rPr>
                <w:rFonts w:hint="eastAsia" w:ascii="宋体" w:hAnsi="宋体" w:cs="宋体"/>
                <w:b/>
                <w:bCs/>
                <w:color w:val="000000" w:themeColor="text1"/>
                <w:sz w:val="18"/>
                <w:szCs w:val="18"/>
                <w:highlight w:val="none"/>
                <w:lang w:bidi="ar"/>
                <w14:textFill>
                  <w14:solidFill>
                    <w14:schemeClr w14:val="tx1"/>
                  </w14:solidFill>
                </w14:textFill>
              </w:rPr>
              <w:t>分）</w:t>
            </w:r>
          </w:p>
        </w:tc>
        <w:tc>
          <w:tcPr>
            <w:tcW w:w="1161" w:type="dxa"/>
            <w:tcBorders>
              <w:top w:val="single" w:color="000000" w:sz="4" w:space="0"/>
              <w:left w:val="single" w:color="000000" w:sz="4" w:space="0"/>
              <w:right w:val="single" w:color="000000" w:sz="4" w:space="0"/>
            </w:tcBorders>
            <w:shd w:val="clear" w:color="auto" w:fill="auto"/>
            <w:noWrap/>
            <w:vAlign w:val="center"/>
          </w:tcPr>
          <w:p>
            <w:pPr>
              <w:ind w:left="709" w:leftChars="0" w:right="-27" w:rightChars="0" w:hanging="709" w:firstLineChars="0"/>
              <w:jc w:val="center"/>
              <w:textAlignment w:val="center"/>
              <w:rPr>
                <w:rFonts w:hint="default" w:ascii="宋体" w:hAnsi="宋体" w:eastAsia="宋体" w:cs="宋体"/>
                <w:color w:val="000000" w:themeColor="text1"/>
                <w:highlight w:val="none"/>
                <w:lang w:val="en-US" w:eastAsia="zh-CN"/>
                <w14:textFill>
                  <w14:solidFill>
                    <w14:schemeClr w14:val="tx1"/>
                  </w14:solidFill>
                </w14:textFill>
              </w:rPr>
            </w:pPr>
            <w:r>
              <w:rPr>
                <w:rFonts w:hint="eastAsia" w:ascii="宋体" w:hAnsi="宋体" w:cs="宋体"/>
                <w:color w:val="000000" w:themeColor="text1"/>
                <w:highlight w:val="none"/>
                <w:lang w:val="en-US" w:eastAsia="zh-CN" w:bidi="ar"/>
                <w14:textFill>
                  <w14:solidFill>
                    <w14:schemeClr w14:val="tx1"/>
                  </w14:solidFill>
                </w14:textFill>
              </w:rPr>
              <w:t>12</w:t>
            </w:r>
            <w:r>
              <w:rPr>
                <w:rFonts w:hint="eastAsia" w:ascii="宋体" w:hAnsi="宋体" w:cs="宋体"/>
                <w:color w:val="000000" w:themeColor="text1"/>
                <w:highlight w:val="none"/>
                <w:lang w:bidi="ar"/>
                <w14:textFill>
                  <w14:solidFill>
                    <w14:schemeClr w14:val="tx1"/>
                  </w14:solidFill>
                </w14:textFill>
              </w:rPr>
              <w:t>≤m≤</w:t>
            </w:r>
            <w:r>
              <w:rPr>
                <w:rFonts w:hint="eastAsia" w:ascii="宋体" w:hAnsi="宋体" w:cs="宋体"/>
                <w:color w:val="000000" w:themeColor="text1"/>
                <w:highlight w:val="none"/>
                <w:lang w:val="en-US" w:eastAsia="zh-CN" w:bidi="ar"/>
                <w14:textFill>
                  <w14:solidFill>
                    <w14:schemeClr w14:val="tx1"/>
                  </w14:solidFill>
                </w14:textFill>
              </w:rPr>
              <w:t>15</w:t>
            </w:r>
          </w:p>
        </w:tc>
        <w:tc>
          <w:tcPr>
            <w:tcW w:w="48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val="0"/>
              <w:spacing w:before="0" w:after="0" w:afterAutospacing="0" w:line="288" w:lineRule="auto"/>
              <w:ind w:left="0" w:leftChars="0" w:right="0" w:rightChars="0" w:firstLine="0" w:firstLineChars="0"/>
              <w:rPr>
                <w:rFonts w:hint="eastAsia" w:ascii="Times New Roman" w:hAnsi="Times New Roman" w:eastAsia="宋体" w:cs="Times New Roman"/>
                <w:kern w:val="2"/>
                <w:highlight w:val="none"/>
                <w:lang w:val="en-US" w:eastAsia="zh-CN"/>
              </w:rPr>
            </w:pPr>
            <w:r>
              <w:rPr>
                <w:rFonts w:hint="eastAsia" w:ascii="Times New Roman" w:hAnsi="Times New Roman" w:cs="Times New Roman"/>
                <w:kern w:val="2"/>
                <w:highlight w:val="none"/>
              </w:rPr>
              <w:t>拟投入本项目</w:t>
            </w:r>
            <w:r>
              <w:rPr>
                <w:rFonts w:hint="eastAsia" w:ascii="Times New Roman" w:hAnsi="Times New Roman" w:cs="Times New Roman"/>
                <w:kern w:val="2"/>
                <w:highlight w:val="none"/>
                <w:lang w:val="en-US" w:eastAsia="zh-CN"/>
              </w:rPr>
              <w:t>设计</w:t>
            </w:r>
            <w:r>
              <w:rPr>
                <w:rFonts w:hint="eastAsia" w:ascii="Times New Roman" w:hAnsi="Times New Roman" w:cs="Times New Roman"/>
                <w:kern w:val="2"/>
                <w:highlight w:val="none"/>
                <w:lang w:eastAsia="zh-CN"/>
              </w:rPr>
              <w:t>专业</w:t>
            </w:r>
            <w:r>
              <w:rPr>
                <w:rFonts w:hint="eastAsia" w:ascii="Times New Roman" w:hAnsi="Times New Roman" w:cs="Times New Roman"/>
                <w:kern w:val="2"/>
                <w:highlight w:val="none"/>
              </w:rPr>
              <w:t>人员总人数不少于</w:t>
            </w:r>
            <w:r>
              <w:rPr>
                <w:rFonts w:hint="eastAsia" w:ascii="Times New Roman" w:hAnsi="Times New Roman" w:cs="Times New Roman"/>
                <w:kern w:val="2"/>
                <w:highlight w:val="none"/>
                <w:lang w:val="en-US" w:eastAsia="zh-CN"/>
              </w:rPr>
              <w:t xml:space="preserve"> 5</w:t>
            </w:r>
            <w:r>
              <w:rPr>
                <w:rFonts w:hint="eastAsia" w:ascii="Times New Roman" w:hAnsi="Times New Roman" w:cs="Times New Roman"/>
                <w:kern w:val="2"/>
                <w:highlight w:val="none"/>
              </w:rPr>
              <w:t>人</w:t>
            </w:r>
            <w:r>
              <w:rPr>
                <w:rFonts w:hint="eastAsia" w:cs="Times New Roman"/>
                <w:kern w:val="2"/>
                <w:highlight w:val="none"/>
                <w:lang w:eastAsia="zh-CN"/>
              </w:rPr>
              <w:t>。</w:t>
            </w:r>
          </w:p>
        </w:tc>
        <w:tc>
          <w:tcPr>
            <w:tcW w:w="986" w:type="dxa"/>
            <w:vMerge w:val="restart"/>
            <w:tcBorders>
              <w:top w:val="single" w:color="000000" w:sz="4" w:space="0"/>
              <w:left w:val="single" w:color="000000" w:sz="4" w:space="0"/>
              <w:right w:val="single" w:color="000000" w:sz="4" w:space="0"/>
            </w:tcBorders>
            <w:shd w:val="clear" w:color="auto" w:fill="auto"/>
            <w:noWrap/>
            <w:vAlign w:val="center"/>
          </w:tcPr>
          <w:p>
            <w:pPr>
              <w:rPr>
                <w:rFonts w:ascii="宋体" w:hAnsi="宋体" w:cs="宋体"/>
                <w:color w:val="000000" w:themeColor="text1"/>
                <w:sz w:val="22"/>
                <w:szCs w:val="22"/>
                <w:highlight w:val="none"/>
                <w14:textFill>
                  <w14:solidFill>
                    <w14:schemeClr w14:val="tx1"/>
                  </w14:solidFill>
                </w14:textFill>
              </w:rPr>
            </w:pPr>
          </w:p>
        </w:tc>
      </w:tr>
      <w:tr>
        <w:tblPrEx>
          <w:tblCellMar>
            <w:top w:w="0" w:type="dxa"/>
            <w:left w:w="108" w:type="dxa"/>
            <w:bottom w:w="0" w:type="dxa"/>
            <w:right w:w="108" w:type="dxa"/>
          </w:tblCellMar>
        </w:tblPrEx>
        <w:trPr>
          <w:trHeight w:val="718" w:hRule="atLeast"/>
          <w:jc w:val="center"/>
        </w:trPr>
        <w:tc>
          <w:tcPr>
            <w:tcW w:w="636" w:type="dxa"/>
            <w:tcBorders>
              <w:top w:val="single" w:color="000000" w:sz="4" w:space="0"/>
              <w:left w:val="single" w:color="000000" w:sz="4" w:space="0"/>
              <w:right w:val="single" w:color="000000" w:sz="4" w:space="0"/>
            </w:tcBorders>
            <w:shd w:val="clear" w:color="auto" w:fill="auto"/>
            <w:noWrap/>
            <w:vAlign w:val="center"/>
          </w:tcPr>
          <w:p>
            <w:pPr>
              <w:jc w:val="center"/>
              <w:textAlignment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2</w:t>
            </w:r>
          </w:p>
        </w:tc>
        <w:tc>
          <w:tcPr>
            <w:tcW w:w="1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0" w:after="0" w:afterAutospacing="0"/>
              <w:ind w:left="0" w:right="0" w:firstLine="0"/>
              <w:jc w:val="center"/>
              <w:rPr>
                <w:rFonts w:ascii="宋体" w:hAnsi="宋体" w:cs="宋体"/>
                <w:b/>
                <w:bCs/>
                <w:color w:val="000000" w:themeColor="text1"/>
                <w:sz w:val="18"/>
                <w:szCs w:val="18"/>
                <w:highlight w:val="none"/>
                <w14:textFill>
                  <w14:solidFill>
                    <w14:schemeClr w14:val="tx1"/>
                  </w14:solidFill>
                </w14:textFill>
              </w:rPr>
            </w:pPr>
          </w:p>
        </w:tc>
        <w:tc>
          <w:tcPr>
            <w:tcW w:w="1161" w:type="dxa"/>
            <w:tcBorders>
              <w:top w:val="single" w:color="000000" w:sz="4" w:space="0"/>
              <w:left w:val="single" w:color="000000" w:sz="4" w:space="0"/>
              <w:right w:val="single" w:color="000000" w:sz="4" w:space="0"/>
            </w:tcBorders>
            <w:shd w:val="clear" w:color="auto" w:fill="auto"/>
            <w:noWrap/>
            <w:vAlign w:val="center"/>
          </w:tcPr>
          <w:p>
            <w:pPr>
              <w:ind w:left="709" w:leftChars="0" w:right="-27" w:rightChars="0" w:hanging="709" w:firstLineChars="0"/>
              <w:jc w:val="center"/>
              <w:textAlignment w:val="center"/>
              <w:rPr>
                <w:rFonts w:hint="default" w:ascii="宋体" w:hAnsi="宋体" w:eastAsia="宋体" w:cs="宋体"/>
                <w:color w:val="000000" w:themeColor="text1"/>
                <w:highlight w:val="none"/>
                <w:lang w:val="en-US" w:eastAsia="zh-CN"/>
                <w14:textFill>
                  <w14:solidFill>
                    <w14:schemeClr w14:val="tx1"/>
                  </w14:solidFill>
                </w14:textFill>
              </w:rPr>
            </w:pPr>
            <w:r>
              <w:rPr>
                <w:rFonts w:hint="eastAsia" w:ascii="宋体" w:hAnsi="宋体" w:cs="宋体"/>
                <w:color w:val="000000" w:themeColor="text1"/>
                <w:highlight w:val="none"/>
                <w:lang w:val="en-US" w:eastAsia="zh-CN" w:bidi="ar"/>
                <w14:textFill>
                  <w14:solidFill>
                    <w14:schemeClr w14:val="tx1"/>
                  </w14:solidFill>
                </w14:textFill>
              </w:rPr>
              <w:t>9</w:t>
            </w:r>
            <w:r>
              <w:rPr>
                <w:rFonts w:hint="eastAsia" w:ascii="宋体" w:hAnsi="宋体" w:cs="宋体"/>
                <w:color w:val="000000" w:themeColor="text1"/>
                <w:highlight w:val="none"/>
                <w:lang w:bidi="ar"/>
                <w14:textFill>
                  <w14:solidFill>
                    <w14:schemeClr w14:val="tx1"/>
                  </w14:solidFill>
                </w14:textFill>
              </w:rPr>
              <w:t>&lt;m&lt;</w:t>
            </w:r>
            <w:r>
              <w:rPr>
                <w:rFonts w:hint="eastAsia" w:ascii="宋体" w:hAnsi="宋体" w:cs="宋体"/>
                <w:color w:val="000000" w:themeColor="text1"/>
                <w:highlight w:val="none"/>
                <w:lang w:val="en-US" w:eastAsia="zh-CN" w:bidi="ar"/>
                <w14:textFill>
                  <w14:solidFill>
                    <w14:schemeClr w14:val="tx1"/>
                  </w14:solidFill>
                </w14:textFill>
              </w:rPr>
              <w:t>12</w:t>
            </w:r>
          </w:p>
        </w:tc>
        <w:tc>
          <w:tcPr>
            <w:tcW w:w="48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val="0"/>
              <w:spacing w:before="0" w:after="0" w:afterAutospacing="0" w:line="288" w:lineRule="auto"/>
              <w:ind w:left="0" w:leftChars="0" w:right="0" w:rightChars="0" w:firstLine="0" w:firstLineChars="0"/>
              <w:rPr>
                <w:rFonts w:hint="eastAsia" w:ascii="Times New Roman" w:hAnsi="Times New Roman" w:eastAsia="宋体" w:cs="Times New Roman"/>
                <w:kern w:val="2"/>
                <w:highlight w:val="none"/>
                <w:lang w:val="en-US" w:eastAsia="zh-CN"/>
              </w:rPr>
            </w:pPr>
            <w:r>
              <w:rPr>
                <w:rFonts w:hint="eastAsia" w:ascii="Times New Roman" w:hAnsi="Times New Roman" w:cs="Times New Roman"/>
                <w:kern w:val="2"/>
                <w:highlight w:val="none"/>
              </w:rPr>
              <w:t>拟投入本项目</w:t>
            </w:r>
            <w:r>
              <w:rPr>
                <w:rFonts w:hint="eastAsia" w:ascii="Times New Roman" w:hAnsi="Times New Roman" w:cs="Times New Roman"/>
                <w:kern w:val="2"/>
                <w:highlight w:val="none"/>
                <w:lang w:val="en-US" w:eastAsia="zh-CN"/>
              </w:rPr>
              <w:t>设计</w:t>
            </w:r>
            <w:r>
              <w:rPr>
                <w:rFonts w:hint="eastAsia" w:ascii="Times New Roman" w:hAnsi="Times New Roman" w:cs="Times New Roman"/>
                <w:kern w:val="2"/>
                <w:highlight w:val="none"/>
                <w:lang w:eastAsia="zh-CN"/>
              </w:rPr>
              <w:t>专业</w:t>
            </w:r>
            <w:r>
              <w:rPr>
                <w:rFonts w:hint="eastAsia" w:ascii="Times New Roman" w:hAnsi="Times New Roman" w:cs="Times New Roman"/>
                <w:kern w:val="2"/>
                <w:highlight w:val="none"/>
              </w:rPr>
              <w:t>人员总人数不少于</w:t>
            </w:r>
            <w:r>
              <w:rPr>
                <w:rFonts w:hint="eastAsia" w:ascii="Times New Roman" w:hAnsi="Times New Roman" w:cs="Times New Roman"/>
                <w:kern w:val="2"/>
                <w:highlight w:val="none"/>
                <w:lang w:val="en-US" w:eastAsia="zh-CN"/>
              </w:rPr>
              <w:t xml:space="preserve"> </w:t>
            </w:r>
            <w:r>
              <w:rPr>
                <w:rFonts w:hint="eastAsia" w:cs="Times New Roman"/>
                <w:kern w:val="2"/>
                <w:highlight w:val="none"/>
                <w:lang w:val="en-US" w:eastAsia="zh-CN"/>
              </w:rPr>
              <w:t>4</w:t>
            </w:r>
            <w:r>
              <w:rPr>
                <w:rFonts w:hint="eastAsia" w:ascii="Times New Roman" w:hAnsi="Times New Roman" w:cs="Times New Roman"/>
                <w:kern w:val="2"/>
                <w:highlight w:val="none"/>
              </w:rPr>
              <w:t>人</w:t>
            </w:r>
            <w:r>
              <w:rPr>
                <w:rFonts w:hint="eastAsia" w:cs="Times New Roman"/>
                <w:kern w:val="2"/>
                <w:highlight w:val="none"/>
                <w:lang w:eastAsia="zh-CN"/>
              </w:rPr>
              <w:t>。，</w:t>
            </w:r>
          </w:p>
        </w:tc>
        <w:tc>
          <w:tcPr>
            <w:tcW w:w="986" w:type="dxa"/>
            <w:vMerge w:val="continue"/>
            <w:tcBorders>
              <w:left w:val="single" w:color="000000" w:sz="4" w:space="0"/>
              <w:right w:val="single" w:color="000000" w:sz="4" w:space="0"/>
            </w:tcBorders>
            <w:shd w:val="clear" w:color="auto" w:fill="auto"/>
            <w:noWrap/>
            <w:vAlign w:val="center"/>
          </w:tcPr>
          <w:p>
            <w:pPr>
              <w:jc w:val="center"/>
              <w:rPr>
                <w:rFonts w:ascii="宋体" w:hAnsi="宋体" w:cs="宋体"/>
                <w:color w:val="000000" w:themeColor="text1"/>
                <w:highlight w:val="none"/>
                <w14:textFill>
                  <w14:solidFill>
                    <w14:schemeClr w14:val="tx1"/>
                  </w14:solidFill>
                </w14:textFill>
              </w:rPr>
            </w:pPr>
          </w:p>
        </w:tc>
      </w:tr>
      <w:tr>
        <w:tblPrEx>
          <w:tblCellMar>
            <w:top w:w="0" w:type="dxa"/>
            <w:left w:w="108" w:type="dxa"/>
            <w:bottom w:w="0" w:type="dxa"/>
            <w:right w:w="108" w:type="dxa"/>
          </w:tblCellMar>
        </w:tblPrEx>
        <w:trPr>
          <w:trHeight w:val="832" w:hRule="atLeast"/>
          <w:jc w:val="center"/>
        </w:trPr>
        <w:tc>
          <w:tcPr>
            <w:tcW w:w="636" w:type="dxa"/>
            <w:tcBorders>
              <w:top w:val="single" w:color="000000" w:sz="4" w:space="0"/>
              <w:left w:val="single" w:color="000000" w:sz="4" w:space="0"/>
              <w:right w:val="single" w:color="000000" w:sz="4" w:space="0"/>
            </w:tcBorders>
            <w:shd w:val="clear" w:color="auto" w:fill="auto"/>
            <w:noWrap/>
            <w:vAlign w:val="center"/>
          </w:tcPr>
          <w:p>
            <w:pPr>
              <w:jc w:val="center"/>
              <w:textAlignment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3</w:t>
            </w:r>
          </w:p>
        </w:tc>
        <w:tc>
          <w:tcPr>
            <w:tcW w:w="1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0" w:after="0" w:afterAutospacing="0"/>
              <w:ind w:left="0" w:right="0" w:firstLine="0"/>
              <w:jc w:val="center"/>
              <w:rPr>
                <w:rFonts w:ascii="宋体" w:hAnsi="宋体" w:cs="宋体"/>
                <w:b/>
                <w:bCs/>
                <w:color w:val="000000" w:themeColor="text1"/>
                <w:sz w:val="18"/>
                <w:szCs w:val="18"/>
                <w:highlight w:val="none"/>
                <w14:textFill>
                  <w14:solidFill>
                    <w14:schemeClr w14:val="tx1"/>
                  </w14:solidFill>
                </w14:textFill>
              </w:rPr>
            </w:pPr>
          </w:p>
        </w:tc>
        <w:tc>
          <w:tcPr>
            <w:tcW w:w="1161" w:type="dxa"/>
            <w:tcBorders>
              <w:top w:val="single" w:color="000000" w:sz="4" w:space="0"/>
              <w:left w:val="single" w:color="000000" w:sz="4" w:space="0"/>
              <w:right w:val="single" w:color="000000" w:sz="4" w:space="0"/>
            </w:tcBorders>
            <w:shd w:val="clear" w:color="auto" w:fill="auto"/>
            <w:noWrap/>
            <w:vAlign w:val="center"/>
          </w:tcPr>
          <w:p>
            <w:pPr>
              <w:ind w:left="709" w:leftChars="0" w:right="-27" w:rightChars="0" w:hanging="709" w:firstLineChars="0"/>
              <w:jc w:val="center"/>
              <w:textAlignment w:val="center"/>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0&lt;m≤</w:t>
            </w:r>
            <w:r>
              <w:rPr>
                <w:rFonts w:hint="eastAsia" w:ascii="宋体" w:hAnsi="宋体" w:cs="宋体"/>
                <w:color w:val="000000" w:themeColor="text1"/>
                <w:highlight w:val="none"/>
                <w:lang w:val="en-US" w:eastAsia="zh-CN" w:bidi="ar"/>
                <w14:textFill>
                  <w14:solidFill>
                    <w14:schemeClr w14:val="tx1"/>
                  </w14:solidFill>
                </w14:textFill>
              </w:rPr>
              <w:t>9</w:t>
            </w:r>
          </w:p>
        </w:tc>
        <w:tc>
          <w:tcPr>
            <w:tcW w:w="48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val="0"/>
              <w:spacing w:before="0" w:after="0" w:afterAutospacing="0" w:line="288" w:lineRule="auto"/>
              <w:ind w:left="0" w:leftChars="0" w:right="0" w:rightChars="0" w:firstLine="0" w:firstLineChars="0"/>
              <w:rPr>
                <w:rFonts w:hint="default" w:ascii="Times New Roman" w:hAnsi="Times New Roman" w:cs="Times New Roman"/>
                <w:kern w:val="2"/>
                <w:highlight w:val="none"/>
                <w:lang w:val="en-US"/>
              </w:rPr>
            </w:pPr>
            <w:r>
              <w:rPr>
                <w:rFonts w:hint="eastAsia" w:ascii="Times New Roman" w:hAnsi="Times New Roman" w:cs="Times New Roman"/>
                <w:kern w:val="2"/>
                <w:highlight w:val="none"/>
              </w:rPr>
              <w:t>拟投入本项目</w:t>
            </w:r>
            <w:r>
              <w:rPr>
                <w:rFonts w:hint="eastAsia" w:ascii="Times New Roman" w:hAnsi="Times New Roman" w:cs="Times New Roman"/>
                <w:kern w:val="2"/>
                <w:highlight w:val="none"/>
                <w:lang w:val="en-US" w:eastAsia="zh-CN"/>
              </w:rPr>
              <w:t>设计</w:t>
            </w:r>
            <w:r>
              <w:rPr>
                <w:rFonts w:hint="eastAsia" w:ascii="Times New Roman" w:hAnsi="Times New Roman" w:cs="Times New Roman"/>
                <w:kern w:val="2"/>
                <w:highlight w:val="none"/>
                <w:lang w:eastAsia="zh-CN"/>
              </w:rPr>
              <w:t>专业</w:t>
            </w:r>
            <w:r>
              <w:rPr>
                <w:rFonts w:hint="eastAsia" w:ascii="Times New Roman" w:hAnsi="Times New Roman" w:cs="Times New Roman"/>
                <w:kern w:val="2"/>
                <w:highlight w:val="none"/>
              </w:rPr>
              <w:t>人员总人数不少于</w:t>
            </w:r>
            <w:r>
              <w:rPr>
                <w:rFonts w:hint="eastAsia" w:ascii="Times New Roman" w:hAnsi="Times New Roman" w:cs="Times New Roman"/>
                <w:kern w:val="2"/>
                <w:highlight w:val="none"/>
                <w:lang w:val="en-US" w:eastAsia="zh-CN"/>
              </w:rPr>
              <w:t xml:space="preserve"> </w:t>
            </w:r>
            <w:r>
              <w:rPr>
                <w:rFonts w:hint="eastAsia" w:cs="Times New Roman"/>
                <w:kern w:val="2"/>
                <w:highlight w:val="none"/>
                <w:lang w:val="en-US" w:eastAsia="zh-CN"/>
              </w:rPr>
              <w:t>3</w:t>
            </w:r>
            <w:r>
              <w:rPr>
                <w:rFonts w:hint="eastAsia" w:ascii="Times New Roman" w:hAnsi="Times New Roman" w:cs="Times New Roman"/>
                <w:kern w:val="2"/>
                <w:highlight w:val="none"/>
              </w:rPr>
              <w:t>人</w:t>
            </w:r>
            <w:r>
              <w:rPr>
                <w:rFonts w:hint="eastAsia" w:cs="Times New Roman"/>
                <w:kern w:val="2"/>
                <w:highlight w:val="none"/>
                <w:lang w:eastAsia="zh-CN"/>
              </w:rPr>
              <w:t>。</w:t>
            </w:r>
          </w:p>
        </w:tc>
        <w:tc>
          <w:tcPr>
            <w:tcW w:w="986" w:type="dxa"/>
            <w:vMerge w:val="continue"/>
            <w:tcBorders>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themeColor="text1"/>
                <w:highlight w:val="none"/>
                <w14:textFill>
                  <w14:solidFill>
                    <w14:schemeClr w14:val="tx1"/>
                  </w14:solidFill>
                </w14:textFill>
              </w:rPr>
            </w:pPr>
          </w:p>
        </w:tc>
      </w:tr>
      <w:tr>
        <w:tblPrEx>
          <w:tblCellMar>
            <w:top w:w="0" w:type="dxa"/>
            <w:left w:w="108" w:type="dxa"/>
            <w:bottom w:w="0" w:type="dxa"/>
            <w:right w:w="108" w:type="dxa"/>
          </w:tblCellMar>
        </w:tblPrEx>
        <w:trPr>
          <w:trHeight w:val="546" w:hRule="atLeast"/>
          <w:jc w:val="center"/>
        </w:trPr>
        <w:tc>
          <w:tcPr>
            <w:tcW w:w="636" w:type="dxa"/>
            <w:vMerge w:val="restart"/>
            <w:tcBorders>
              <w:top w:val="single" w:color="000000" w:sz="4" w:space="0"/>
              <w:left w:val="single" w:color="000000" w:sz="4" w:space="0"/>
              <w:right w:val="single" w:color="000000" w:sz="4" w:space="0"/>
            </w:tcBorders>
            <w:shd w:val="clear" w:color="auto" w:fill="auto"/>
            <w:noWrap/>
            <w:vAlign w:val="center"/>
          </w:tcPr>
          <w:p>
            <w:pPr>
              <w:jc w:val="center"/>
              <w:textAlignment w:val="center"/>
              <w:rPr>
                <w:rFonts w:hint="eastAsia" w:ascii="宋体" w:hAnsi="宋体" w:eastAsia="宋体" w:cs="宋体"/>
                <w:color w:val="000000" w:themeColor="text1"/>
                <w:highlight w:val="none"/>
                <w:lang w:eastAsia="zh-CN"/>
                <w14:textFill>
                  <w14:solidFill>
                    <w14:schemeClr w14:val="tx1"/>
                  </w14:solidFill>
                </w14:textFill>
              </w:rPr>
            </w:pPr>
            <w:r>
              <w:rPr>
                <w:rFonts w:hint="eastAsia" w:ascii="宋体" w:hAnsi="宋体" w:cs="宋体"/>
                <w:color w:val="000000" w:themeColor="text1"/>
                <w:highlight w:val="none"/>
                <w:lang w:val="en-US" w:eastAsia="zh-CN"/>
                <w14:textFill>
                  <w14:solidFill>
                    <w14:schemeClr w14:val="tx1"/>
                  </w14:solidFill>
                </w14:textFill>
              </w:rPr>
              <w:t>4</w:t>
            </w:r>
          </w:p>
        </w:tc>
        <w:tc>
          <w:tcPr>
            <w:tcW w:w="1686" w:type="dxa"/>
            <w:vMerge w:val="restart"/>
            <w:tcBorders>
              <w:top w:val="single" w:color="000000" w:sz="4" w:space="0"/>
              <w:left w:val="single" w:color="000000" w:sz="4" w:space="0"/>
              <w:right w:val="single" w:color="000000" w:sz="4" w:space="0"/>
            </w:tcBorders>
            <w:shd w:val="clear" w:color="auto" w:fill="auto"/>
            <w:vAlign w:val="center"/>
          </w:tcPr>
          <w:p>
            <w:pPr>
              <w:pStyle w:val="32"/>
              <w:spacing w:before="0" w:after="0" w:afterAutospacing="0"/>
              <w:ind w:left="0" w:leftChars="0" w:right="0" w:rightChars="0" w:firstLine="0" w:firstLineChars="0"/>
              <w:jc w:val="center"/>
              <w:rPr>
                <w:rFonts w:hint="eastAsia" w:ascii="宋体" w:hAnsi="宋体" w:eastAsia="宋体" w:cs="宋体"/>
                <w:color w:val="000000" w:themeColor="text1"/>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sz w:val="21"/>
                <w:szCs w:val="21"/>
                <w:highlight w:val="none"/>
                <w:lang w:val="en-US" w:eastAsia="zh-CN" w:bidi="ar"/>
                <w14:textFill>
                  <w14:solidFill>
                    <w14:schemeClr w14:val="tx1"/>
                  </w14:solidFill>
                </w14:textFill>
              </w:rPr>
              <w:t>设计服务方案（15分）</w:t>
            </w:r>
          </w:p>
        </w:tc>
        <w:tc>
          <w:tcPr>
            <w:tcW w:w="1161"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ind w:left="709" w:leftChars="0" w:right="-27" w:rightChars="0" w:hanging="709" w:firstLineChars="0"/>
              <w:jc w:val="center"/>
              <w:textAlignment w:val="center"/>
              <w:rPr>
                <w:rFonts w:hint="default" w:ascii="宋体" w:hAnsi="宋体" w:eastAsia="宋体" w:cs="宋体"/>
                <w:color w:val="000000" w:themeColor="text1"/>
                <w:sz w:val="21"/>
                <w:szCs w:val="21"/>
                <w:highlight w:val="none"/>
                <w:lang w:val="en-US" w:eastAsia="zh-CN" w:bidi="ar"/>
                <w14:textFill>
                  <w14:solidFill>
                    <w14:schemeClr w14:val="tx1"/>
                  </w14:solidFill>
                </w14:textFill>
              </w:rPr>
            </w:pPr>
            <w:r>
              <w:rPr>
                <w:rFonts w:hint="eastAsia" w:ascii="宋体" w:hAnsi="宋体" w:cs="宋体"/>
                <w:color w:val="000000" w:themeColor="text1"/>
                <w:highlight w:val="none"/>
                <w:lang w:val="en-US" w:eastAsia="zh-CN" w:bidi="ar"/>
                <w14:textFill>
                  <w14:solidFill>
                    <w14:schemeClr w14:val="tx1"/>
                  </w14:solidFill>
                </w14:textFill>
              </w:rPr>
              <w:t>12</w:t>
            </w:r>
            <w:r>
              <w:rPr>
                <w:rFonts w:hint="eastAsia" w:ascii="宋体" w:hAnsi="宋体" w:cs="宋体"/>
                <w:color w:val="000000" w:themeColor="text1"/>
                <w:highlight w:val="none"/>
                <w:lang w:bidi="ar"/>
                <w14:textFill>
                  <w14:solidFill>
                    <w14:schemeClr w14:val="tx1"/>
                  </w14:solidFill>
                </w14:textFill>
              </w:rPr>
              <w:t>≤m≤</w:t>
            </w:r>
            <w:r>
              <w:rPr>
                <w:rFonts w:hint="eastAsia" w:ascii="宋体" w:hAnsi="宋体" w:cs="宋体"/>
                <w:color w:val="000000" w:themeColor="text1"/>
                <w:highlight w:val="none"/>
                <w:lang w:val="en-US" w:eastAsia="zh-CN" w:bidi="ar"/>
                <w14:textFill>
                  <w14:solidFill>
                    <w14:schemeClr w14:val="tx1"/>
                  </w14:solidFill>
                </w14:textFill>
              </w:rPr>
              <w:t>15</w:t>
            </w:r>
          </w:p>
        </w:tc>
        <w:tc>
          <w:tcPr>
            <w:tcW w:w="4817"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val="0"/>
              <w:spacing w:before="0" w:after="0" w:afterAutospacing="0" w:line="288" w:lineRule="auto"/>
              <w:ind w:left="0" w:right="0" w:firstLine="0"/>
              <w:rPr>
                <w:rFonts w:hint="default" w:ascii="Times New Roman" w:hAnsi="Times New Roman" w:cs="Times New Roman"/>
                <w:kern w:val="2"/>
                <w:lang w:val="en-US" w:eastAsia="zh-CN"/>
              </w:rPr>
            </w:pPr>
            <w:r>
              <w:rPr>
                <w:rFonts w:hint="eastAsia" w:ascii="Times New Roman" w:hAnsi="Times New Roman" w:cs="Times New Roman"/>
                <w:kern w:val="2"/>
              </w:rPr>
              <w:t>设计实施方案科学合理，详尽有针对性。至少包含对项目所处区域建设条件的分析、对具体设计工作组织实施分析、对现状分析、能提出科学性建议、对设计造价分析与限额设计措施等内容，内容具体深刻，可行性很强。</w:t>
            </w:r>
          </w:p>
        </w:tc>
        <w:tc>
          <w:tcPr>
            <w:tcW w:w="986" w:type="dxa"/>
            <w:vMerge w:val="restart"/>
            <w:tcBorders>
              <w:top w:val="single" w:color="000000" w:sz="4" w:space="0"/>
              <w:left w:val="single" w:color="000000" w:sz="4" w:space="0"/>
              <w:right w:val="single" w:color="000000" w:sz="4" w:space="0"/>
            </w:tcBorders>
            <w:shd w:val="clear" w:color="auto" w:fill="auto"/>
            <w:noWrap/>
            <w:vAlign w:val="center"/>
          </w:tcPr>
          <w:p>
            <w:pPr>
              <w:ind w:left="0" w:leftChars="0" w:firstLine="0" w:firstLineChars="0"/>
              <w:jc w:val="both"/>
              <w:rPr>
                <w:rFonts w:ascii="宋体" w:hAnsi="宋体" w:cs="宋体"/>
                <w:color w:val="000000" w:themeColor="text1"/>
                <w:highlight w:val="none"/>
                <w14:textFill>
                  <w14:solidFill>
                    <w14:schemeClr w14:val="tx1"/>
                  </w14:solidFill>
                </w14:textFill>
              </w:rPr>
            </w:pPr>
            <w:r>
              <w:rPr>
                <w:rFonts w:hint="eastAsia"/>
                <w:b/>
                <w:bCs/>
                <w:color w:val="000000" w:themeColor="text1"/>
                <w:highlight w:val="none"/>
                <w:lang w:eastAsia="zh-CN"/>
                <w14:textFill>
                  <w14:solidFill>
                    <w14:schemeClr w14:val="tx1"/>
                  </w14:solidFill>
                </w14:textFill>
              </w:rPr>
              <w:t>服务建议书</w:t>
            </w:r>
          </w:p>
        </w:tc>
      </w:tr>
      <w:tr>
        <w:tblPrEx>
          <w:tblCellMar>
            <w:top w:w="0" w:type="dxa"/>
            <w:left w:w="108" w:type="dxa"/>
            <w:bottom w:w="0" w:type="dxa"/>
            <w:right w:w="108" w:type="dxa"/>
          </w:tblCellMar>
        </w:tblPrEx>
        <w:trPr>
          <w:trHeight w:val="370" w:hRule="atLeast"/>
          <w:jc w:val="center"/>
        </w:trPr>
        <w:tc>
          <w:tcPr>
            <w:tcW w:w="636" w:type="dxa"/>
            <w:vMerge w:val="continue"/>
            <w:tcBorders>
              <w:left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000000" w:themeColor="text1"/>
                <w:highlight w:val="none"/>
                <w14:textFill>
                  <w14:solidFill>
                    <w14:schemeClr w14:val="tx1"/>
                  </w14:solidFill>
                </w14:textFill>
              </w:rPr>
            </w:pPr>
          </w:p>
        </w:tc>
        <w:tc>
          <w:tcPr>
            <w:tcW w:w="1686" w:type="dxa"/>
            <w:vMerge w:val="continue"/>
            <w:tcBorders>
              <w:left w:val="single" w:color="000000" w:sz="4" w:space="0"/>
              <w:right w:val="single" w:color="000000" w:sz="4" w:space="0"/>
            </w:tcBorders>
            <w:shd w:val="clear" w:color="auto" w:fill="auto"/>
            <w:vAlign w:val="center"/>
          </w:tcPr>
          <w:p>
            <w:pPr>
              <w:pStyle w:val="32"/>
              <w:spacing w:before="0" w:after="0" w:afterAutospacing="0"/>
              <w:ind w:left="0" w:leftChars="0" w:right="0" w:rightChars="0" w:firstLine="0" w:firstLineChars="0"/>
              <w:jc w:val="center"/>
              <w:rPr>
                <w:rFonts w:hint="eastAsia" w:ascii="宋体" w:hAnsi="宋体" w:cs="宋体"/>
                <w:b/>
                <w:bCs/>
                <w:color w:val="000000" w:themeColor="text1"/>
                <w:sz w:val="18"/>
                <w:szCs w:val="18"/>
                <w:highlight w:val="none"/>
                <w14:textFill>
                  <w14:solidFill>
                    <w14:schemeClr w14:val="tx1"/>
                  </w14:solidFill>
                </w14:textFill>
              </w:rPr>
            </w:pPr>
          </w:p>
        </w:tc>
        <w:tc>
          <w:tcPr>
            <w:tcW w:w="1161" w:type="dxa"/>
            <w:tcBorders>
              <w:left w:val="single" w:color="000000" w:sz="4" w:space="0"/>
              <w:bottom w:val="single" w:color="auto" w:sz="4" w:space="0"/>
              <w:right w:val="single" w:color="000000" w:sz="4" w:space="0"/>
            </w:tcBorders>
            <w:shd w:val="clear" w:color="auto" w:fill="auto"/>
            <w:noWrap/>
            <w:vAlign w:val="center"/>
          </w:tcPr>
          <w:p>
            <w:pPr>
              <w:ind w:left="709" w:leftChars="0" w:right="-27" w:rightChars="0" w:hanging="709" w:firstLineChars="0"/>
              <w:jc w:val="center"/>
              <w:textAlignment w:val="center"/>
              <w:rPr>
                <w:rFonts w:hint="eastAsia" w:ascii="宋体" w:hAnsi="宋体" w:eastAsia="宋体" w:cs="宋体"/>
                <w:color w:val="000000" w:themeColor="text1"/>
                <w:highlight w:val="none"/>
                <w:lang w:val="en-US" w:eastAsia="zh-CN" w:bidi="ar"/>
                <w14:textFill>
                  <w14:solidFill>
                    <w14:schemeClr w14:val="tx1"/>
                  </w14:solidFill>
                </w14:textFill>
              </w:rPr>
            </w:pPr>
            <w:r>
              <w:rPr>
                <w:rFonts w:hint="eastAsia" w:ascii="宋体" w:hAnsi="宋体" w:cs="宋体"/>
                <w:color w:val="000000" w:themeColor="text1"/>
                <w:highlight w:val="none"/>
                <w:lang w:val="en-US" w:eastAsia="zh-CN" w:bidi="ar"/>
                <w14:textFill>
                  <w14:solidFill>
                    <w14:schemeClr w14:val="tx1"/>
                  </w14:solidFill>
                </w14:textFill>
              </w:rPr>
              <w:t>9</w:t>
            </w:r>
            <w:r>
              <w:rPr>
                <w:rFonts w:hint="eastAsia" w:ascii="宋体" w:hAnsi="宋体" w:cs="宋体"/>
                <w:color w:val="000000" w:themeColor="text1"/>
                <w:highlight w:val="none"/>
                <w:lang w:bidi="ar"/>
                <w14:textFill>
                  <w14:solidFill>
                    <w14:schemeClr w14:val="tx1"/>
                  </w14:solidFill>
                </w14:textFill>
              </w:rPr>
              <w:t>&lt;m&lt;</w:t>
            </w:r>
            <w:r>
              <w:rPr>
                <w:rFonts w:hint="eastAsia" w:ascii="宋体" w:hAnsi="宋体" w:cs="宋体"/>
                <w:color w:val="000000" w:themeColor="text1"/>
                <w:highlight w:val="none"/>
                <w:lang w:val="en-US" w:eastAsia="zh-CN" w:bidi="ar"/>
                <w14:textFill>
                  <w14:solidFill>
                    <w14:schemeClr w14:val="tx1"/>
                  </w14:solidFill>
                </w14:textFill>
              </w:rPr>
              <w:t>12</w:t>
            </w:r>
          </w:p>
        </w:tc>
        <w:tc>
          <w:tcPr>
            <w:tcW w:w="4817"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val="0"/>
              <w:spacing w:before="0" w:after="0" w:afterAutospacing="0" w:line="288" w:lineRule="auto"/>
              <w:ind w:left="0" w:right="0" w:firstLine="0"/>
              <w:rPr>
                <w:rFonts w:hint="eastAsia" w:ascii="Times New Roman" w:hAnsi="Times New Roman" w:cs="Times New Roman"/>
                <w:kern w:val="2"/>
              </w:rPr>
            </w:pPr>
            <w:r>
              <w:rPr>
                <w:rFonts w:hint="eastAsia" w:ascii="Times New Roman" w:hAnsi="Times New Roman" w:cs="Times New Roman"/>
                <w:kern w:val="2"/>
              </w:rPr>
              <w:t>设计实施方案合理、明了。至少包含对具体设计工作组织实施分析、对设计现状分析、对设计造价分析与限额设计措施等内容，内容可行。</w:t>
            </w:r>
          </w:p>
        </w:tc>
        <w:tc>
          <w:tcPr>
            <w:tcW w:w="986" w:type="dxa"/>
            <w:vMerge w:val="continue"/>
            <w:tcBorders>
              <w:left w:val="single" w:color="000000" w:sz="4" w:space="0"/>
              <w:right w:val="single" w:color="000000" w:sz="4" w:space="0"/>
            </w:tcBorders>
            <w:shd w:val="clear" w:color="auto" w:fill="auto"/>
            <w:noWrap/>
            <w:vAlign w:val="center"/>
          </w:tcPr>
          <w:p>
            <w:pPr>
              <w:jc w:val="center"/>
              <w:rPr>
                <w:rFonts w:ascii="宋体" w:hAnsi="宋体" w:cs="宋体"/>
                <w:color w:val="000000" w:themeColor="text1"/>
                <w:highlight w:val="none"/>
                <w14:textFill>
                  <w14:solidFill>
                    <w14:schemeClr w14:val="tx1"/>
                  </w14:solidFill>
                </w14:textFill>
              </w:rPr>
            </w:pPr>
          </w:p>
        </w:tc>
      </w:tr>
      <w:tr>
        <w:tblPrEx>
          <w:tblCellMar>
            <w:top w:w="0" w:type="dxa"/>
            <w:left w:w="108" w:type="dxa"/>
            <w:bottom w:w="0" w:type="dxa"/>
            <w:right w:w="108" w:type="dxa"/>
          </w:tblCellMar>
        </w:tblPrEx>
        <w:trPr>
          <w:trHeight w:val="636" w:hRule="atLeast"/>
          <w:jc w:val="center"/>
        </w:trPr>
        <w:tc>
          <w:tcPr>
            <w:tcW w:w="636" w:type="dxa"/>
            <w:vMerge w:val="continue"/>
            <w:tcBorders>
              <w:left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000000" w:themeColor="text1"/>
                <w:highlight w:val="none"/>
                <w14:textFill>
                  <w14:solidFill>
                    <w14:schemeClr w14:val="tx1"/>
                  </w14:solidFill>
                </w14:textFill>
              </w:rPr>
            </w:pPr>
          </w:p>
        </w:tc>
        <w:tc>
          <w:tcPr>
            <w:tcW w:w="1686" w:type="dxa"/>
            <w:vMerge w:val="continue"/>
            <w:tcBorders>
              <w:left w:val="single" w:color="000000" w:sz="4" w:space="0"/>
              <w:bottom w:val="single" w:color="auto" w:sz="4" w:space="0"/>
              <w:right w:val="single" w:color="000000" w:sz="4" w:space="0"/>
            </w:tcBorders>
            <w:shd w:val="clear" w:color="auto" w:fill="auto"/>
            <w:vAlign w:val="center"/>
          </w:tcPr>
          <w:p>
            <w:pPr>
              <w:pStyle w:val="32"/>
              <w:spacing w:before="0" w:after="0" w:afterAutospacing="0"/>
              <w:ind w:left="0" w:leftChars="0" w:right="0" w:rightChars="0" w:firstLine="0" w:firstLineChars="0"/>
              <w:jc w:val="center"/>
              <w:rPr>
                <w:rFonts w:hint="eastAsia" w:ascii="宋体" w:hAnsi="宋体" w:cs="宋体"/>
                <w:b/>
                <w:bCs/>
                <w:color w:val="000000" w:themeColor="text1"/>
                <w:sz w:val="18"/>
                <w:szCs w:val="18"/>
                <w:highlight w:val="none"/>
                <w14:textFill>
                  <w14:solidFill>
                    <w14:schemeClr w14:val="tx1"/>
                  </w14:solidFill>
                </w14:textFill>
              </w:rPr>
            </w:pPr>
          </w:p>
        </w:tc>
        <w:tc>
          <w:tcPr>
            <w:tcW w:w="1161" w:type="dxa"/>
            <w:tcBorders>
              <w:left w:val="single" w:color="000000" w:sz="4" w:space="0"/>
              <w:bottom w:val="single" w:color="000000" w:sz="4" w:space="0"/>
              <w:right w:val="single" w:color="000000" w:sz="4" w:space="0"/>
            </w:tcBorders>
            <w:shd w:val="clear" w:color="auto" w:fill="auto"/>
            <w:noWrap/>
            <w:vAlign w:val="center"/>
          </w:tcPr>
          <w:p>
            <w:pPr>
              <w:ind w:left="709" w:leftChars="0" w:right="-27" w:rightChars="0" w:hanging="709" w:firstLineChars="0"/>
              <w:jc w:val="center"/>
              <w:textAlignment w:val="center"/>
              <w:rPr>
                <w:rFonts w:hint="eastAsia" w:ascii="宋体" w:hAnsi="宋体" w:eastAsia="宋体" w:cs="宋体"/>
                <w:color w:val="000000" w:themeColor="text1"/>
                <w:highlight w:val="none"/>
                <w:lang w:val="en-US" w:eastAsia="zh-CN" w:bidi="ar"/>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0&lt;m≤</w:t>
            </w:r>
            <w:r>
              <w:rPr>
                <w:rFonts w:hint="eastAsia" w:ascii="宋体" w:hAnsi="宋体" w:cs="宋体"/>
                <w:color w:val="000000" w:themeColor="text1"/>
                <w:highlight w:val="none"/>
                <w:lang w:val="en-US" w:eastAsia="zh-CN" w:bidi="ar"/>
                <w14:textFill>
                  <w14:solidFill>
                    <w14:schemeClr w14:val="tx1"/>
                  </w14:solidFill>
                </w14:textFill>
              </w:rPr>
              <w:t>9</w:t>
            </w:r>
          </w:p>
        </w:tc>
        <w:tc>
          <w:tcPr>
            <w:tcW w:w="4817"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val="0"/>
              <w:spacing w:before="0" w:after="0" w:afterAutospacing="0" w:line="288" w:lineRule="auto"/>
              <w:ind w:left="0" w:right="0" w:firstLine="0"/>
              <w:rPr>
                <w:rFonts w:hint="eastAsia" w:ascii="Times New Roman" w:hAnsi="Times New Roman" w:cs="Times New Roman"/>
                <w:kern w:val="2"/>
              </w:rPr>
            </w:pPr>
            <w:r>
              <w:rPr>
                <w:rFonts w:hint="eastAsia" w:ascii="Times New Roman" w:hAnsi="Times New Roman" w:cs="Times New Roman"/>
                <w:kern w:val="2"/>
              </w:rPr>
              <w:t>设计实施方案不合理，内容缺失。没有对设计工作组织实施分析，无设计造价分析与限额设计措施等内容。</w:t>
            </w:r>
          </w:p>
        </w:tc>
        <w:tc>
          <w:tcPr>
            <w:tcW w:w="986" w:type="dxa"/>
            <w:vMerge w:val="continue"/>
            <w:tcBorders>
              <w:left w:val="single" w:color="000000" w:sz="4" w:space="0"/>
              <w:right w:val="single" w:color="000000" w:sz="4" w:space="0"/>
            </w:tcBorders>
            <w:shd w:val="clear" w:color="auto" w:fill="auto"/>
            <w:noWrap/>
            <w:vAlign w:val="center"/>
          </w:tcPr>
          <w:p>
            <w:pPr>
              <w:jc w:val="center"/>
              <w:rPr>
                <w:rFonts w:ascii="宋体" w:hAnsi="宋体" w:cs="宋体"/>
                <w:color w:val="000000" w:themeColor="text1"/>
                <w:highlight w:val="none"/>
                <w14:textFill>
                  <w14:solidFill>
                    <w14:schemeClr w14:val="tx1"/>
                  </w14:solidFill>
                </w14:textFill>
              </w:rPr>
            </w:pPr>
          </w:p>
        </w:tc>
      </w:tr>
      <w:tr>
        <w:tblPrEx>
          <w:tblCellMar>
            <w:top w:w="0" w:type="dxa"/>
            <w:left w:w="108" w:type="dxa"/>
            <w:bottom w:w="0" w:type="dxa"/>
            <w:right w:w="108" w:type="dxa"/>
          </w:tblCellMar>
        </w:tblPrEx>
        <w:trPr>
          <w:trHeight w:val="90" w:hRule="atLeast"/>
          <w:jc w:val="center"/>
        </w:trPr>
        <w:tc>
          <w:tcPr>
            <w:tcW w:w="636" w:type="dxa"/>
            <w:vMerge w:val="continue"/>
            <w:tcBorders>
              <w:left w:val="single" w:color="000000" w:sz="4" w:space="0"/>
              <w:right w:val="single" w:color="000000" w:sz="4" w:space="0"/>
            </w:tcBorders>
            <w:shd w:val="clear" w:color="auto" w:fill="auto"/>
            <w:noWrap/>
            <w:vAlign w:val="center"/>
          </w:tcPr>
          <w:p>
            <w:pPr>
              <w:jc w:val="center"/>
              <w:textAlignment w:val="center"/>
              <w:rPr>
                <w:rFonts w:ascii="宋体" w:hAnsi="宋体" w:cs="宋体"/>
                <w:color w:val="000000" w:themeColor="text1"/>
                <w:highlight w:val="none"/>
                <w14:textFill>
                  <w14:solidFill>
                    <w14:schemeClr w14:val="tx1"/>
                  </w14:solidFill>
                </w14:textFill>
              </w:rPr>
            </w:pPr>
          </w:p>
        </w:tc>
        <w:tc>
          <w:tcPr>
            <w:tcW w:w="1686" w:type="dxa"/>
            <w:vMerge w:val="restart"/>
            <w:tcBorders>
              <w:top w:val="single" w:color="auto" w:sz="4" w:space="0"/>
              <w:left w:val="single" w:color="000000" w:sz="4" w:space="0"/>
              <w:right w:val="single" w:color="000000" w:sz="4" w:space="0"/>
            </w:tcBorders>
            <w:shd w:val="clear" w:color="auto" w:fill="auto"/>
            <w:vAlign w:val="center"/>
          </w:tcPr>
          <w:p>
            <w:pPr>
              <w:spacing w:before="0" w:after="0" w:afterAutospacing="0"/>
              <w:ind w:left="0" w:right="0" w:firstLine="0"/>
              <w:jc w:val="center"/>
              <w:rPr>
                <w:rFonts w:hint="eastAsia" w:ascii="宋体" w:hAnsi="宋体" w:eastAsia="宋体" w:cs="宋体"/>
                <w:b/>
                <w:bCs/>
                <w:color w:val="000000" w:themeColor="text1"/>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sz w:val="21"/>
                <w:szCs w:val="21"/>
                <w:highlight w:val="none"/>
                <w:lang w:val="en-US" w:eastAsia="zh-CN" w:bidi="ar"/>
                <w14:textFill>
                  <w14:solidFill>
                    <w14:schemeClr w14:val="tx1"/>
                  </w14:solidFill>
                </w14:textFill>
              </w:rPr>
              <w:t>服务响应方案</w:t>
            </w:r>
          </w:p>
          <w:p>
            <w:pPr>
              <w:spacing w:before="0" w:after="0" w:afterAutospacing="0"/>
              <w:ind w:left="0" w:leftChars="0" w:right="0" w:rightChars="0" w:firstLine="0" w:firstLineChars="0"/>
              <w:jc w:val="center"/>
              <w:rPr>
                <w:rFonts w:ascii="宋体" w:hAnsi="宋体" w:cs="宋体"/>
                <w:b/>
                <w:bCs/>
                <w:color w:val="000000" w:themeColor="text1"/>
                <w:sz w:val="18"/>
                <w:szCs w:val="18"/>
                <w:highlight w:val="none"/>
                <w14:textFill>
                  <w14:solidFill>
                    <w14:schemeClr w14:val="tx1"/>
                  </w14:solidFill>
                </w14:textFill>
              </w:rPr>
            </w:pPr>
            <w:r>
              <w:rPr>
                <w:rFonts w:hint="eastAsia" w:ascii="宋体" w:hAnsi="宋体" w:cs="宋体"/>
                <w:b/>
                <w:bCs/>
                <w:color w:val="000000" w:themeColor="text1"/>
                <w:sz w:val="18"/>
                <w:szCs w:val="18"/>
                <w:highlight w:val="none"/>
                <w14:textFill>
                  <w14:solidFill>
                    <w14:schemeClr w14:val="tx1"/>
                  </w14:solidFill>
                </w14:textFill>
              </w:rPr>
              <w:t>（</w:t>
            </w:r>
            <w:r>
              <w:rPr>
                <w:rFonts w:hint="eastAsia" w:ascii="宋体" w:hAnsi="宋体" w:cs="宋体"/>
                <w:b/>
                <w:bCs/>
                <w:color w:val="000000" w:themeColor="text1"/>
                <w:sz w:val="18"/>
                <w:szCs w:val="18"/>
                <w:highlight w:val="none"/>
                <w:lang w:val="en-US" w:eastAsia="zh-CN"/>
                <w14:textFill>
                  <w14:solidFill>
                    <w14:schemeClr w14:val="tx1"/>
                  </w14:solidFill>
                </w14:textFill>
              </w:rPr>
              <w:t>15</w:t>
            </w:r>
            <w:r>
              <w:rPr>
                <w:rFonts w:hint="eastAsia" w:ascii="宋体" w:hAnsi="宋体" w:cs="宋体"/>
                <w:b/>
                <w:bCs/>
                <w:color w:val="000000" w:themeColor="text1"/>
                <w:sz w:val="18"/>
                <w:szCs w:val="18"/>
                <w:highlight w:val="none"/>
                <w14:textFill>
                  <w14:solidFill>
                    <w14:schemeClr w14:val="tx1"/>
                  </w14:solidFill>
                </w14:textFill>
              </w:rPr>
              <w:t>分）</w:t>
            </w:r>
          </w:p>
        </w:tc>
        <w:tc>
          <w:tcPr>
            <w:tcW w:w="11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left="709" w:leftChars="0" w:right="-27" w:rightChars="0" w:hanging="709" w:firstLineChars="0"/>
              <w:jc w:val="center"/>
              <w:textAlignment w:val="center"/>
              <w:rPr>
                <w:rFonts w:hint="eastAsia" w:ascii="宋体" w:hAnsi="宋体" w:cs="宋体"/>
                <w:color w:val="000000" w:themeColor="text1"/>
                <w:highlight w:val="none"/>
                <w:lang w:val="en-US" w:eastAsia="zh-CN" w:bidi="ar"/>
                <w14:textFill>
                  <w14:solidFill>
                    <w14:schemeClr w14:val="tx1"/>
                  </w14:solidFill>
                </w14:textFill>
              </w:rPr>
            </w:pPr>
            <w:r>
              <w:rPr>
                <w:rFonts w:hint="eastAsia" w:ascii="宋体" w:hAnsi="宋体" w:cs="宋体"/>
                <w:color w:val="000000" w:themeColor="text1"/>
                <w:highlight w:val="none"/>
                <w:lang w:val="en-US" w:eastAsia="zh-CN" w:bidi="ar"/>
                <w14:textFill>
                  <w14:solidFill>
                    <w14:schemeClr w14:val="tx1"/>
                  </w14:solidFill>
                </w14:textFill>
              </w:rPr>
              <w:t>12</w:t>
            </w:r>
            <w:r>
              <w:rPr>
                <w:rFonts w:hint="eastAsia" w:ascii="宋体" w:hAnsi="宋体" w:cs="宋体"/>
                <w:color w:val="000000" w:themeColor="text1"/>
                <w:highlight w:val="none"/>
                <w:lang w:bidi="ar"/>
                <w14:textFill>
                  <w14:solidFill>
                    <w14:schemeClr w14:val="tx1"/>
                  </w14:solidFill>
                </w14:textFill>
              </w:rPr>
              <w:t>≤m≤</w:t>
            </w:r>
            <w:r>
              <w:rPr>
                <w:rFonts w:hint="eastAsia" w:ascii="宋体" w:hAnsi="宋体" w:cs="宋体"/>
                <w:color w:val="000000" w:themeColor="text1"/>
                <w:highlight w:val="none"/>
                <w:lang w:val="en-US" w:eastAsia="zh-CN" w:bidi="ar"/>
                <w14:textFill>
                  <w14:solidFill>
                    <w14:schemeClr w14:val="tx1"/>
                  </w14:solidFill>
                </w14:textFill>
              </w:rPr>
              <w:t>15</w:t>
            </w:r>
          </w:p>
        </w:tc>
        <w:tc>
          <w:tcPr>
            <w:tcW w:w="48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val="0"/>
              <w:spacing w:before="0" w:after="0" w:afterAutospacing="0" w:line="288" w:lineRule="auto"/>
              <w:ind w:left="0" w:right="0" w:firstLine="0"/>
              <w:rPr>
                <w:rFonts w:hint="eastAsia" w:ascii="Times New Roman" w:hAnsi="Times New Roman" w:cs="Times New Roman"/>
                <w:kern w:val="2"/>
                <w:lang w:val="en-US" w:eastAsia="zh-CN"/>
              </w:rPr>
            </w:pPr>
            <w:r>
              <w:rPr>
                <w:rFonts w:hint="eastAsia" w:ascii="Times New Roman" w:hAnsi="Times New Roman" w:cs="Times New Roman"/>
                <w:kern w:val="2"/>
              </w:rPr>
              <w:t>设计管理要点明确清晰、可行性非常强，至少包含工作计划编排及保证措施、质量保证措施、优化设计管理、对拟投入人员考核及处罚管理等内容，内容充实，完全满足</w:t>
            </w:r>
            <w:r>
              <w:rPr>
                <w:rFonts w:hint="eastAsia" w:ascii="Times New Roman" w:hAnsi="Times New Roman" w:cs="Times New Roman"/>
                <w:kern w:val="2"/>
                <w:lang w:val="en-US" w:eastAsia="zh-CN"/>
              </w:rPr>
              <w:t>比选文件</w:t>
            </w:r>
            <w:r>
              <w:rPr>
                <w:rFonts w:hint="eastAsia" w:ascii="Times New Roman" w:hAnsi="Times New Roman" w:cs="Times New Roman"/>
                <w:kern w:val="2"/>
              </w:rPr>
              <w:t xml:space="preserve">要求。  </w:t>
            </w:r>
          </w:p>
        </w:tc>
        <w:tc>
          <w:tcPr>
            <w:tcW w:w="986" w:type="dxa"/>
            <w:vMerge w:val="continue"/>
            <w:tcBorders>
              <w:left w:val="single" w:color="000000" w:sz="4" w:space="0"/>
              <w:right w:val="single" w:color="000000" w:sz="4" w:space="0"/>
            </w:tcBorders>
            <w:shd w:val="clear" w:color="auto" w:fill="auto"/>
            <w:noWrap/>
            <w:vAlign w:val="center"/>
          </w:tcPr>
          <w:p>
            <w:pPr>
              <w:jc w:val="center"/>
              <w:rPr>
                <w:rFonts w:ascii="宋体" w:hAnsi="宋体" w:cs="宋体"/>
                <w:color w:val="000000" w:themeColor="text1"/>
                <w:highlight w:val="none"/>
                <w14:textFill>
                  <w14:solidFill>
                    <w14:schemeClr w14:val="tx1"/>
                  </w14:solidFill>
                </w14:textFill>
              </w:rPr>
            </w:pPr>
          </w:p>
        </w:tc>
      </w:tr>
      <w:tr>
        <w:tblPrEx>
          <w:tblCellMar>
            <w:top w:w="0" w:type="dxa"/>
            <w:left w:w="108" w:type="dxa"/>
            <w:bottom w:w="0" w:type="dxa"/>
            <w:right w:w="108" w:type="dxa"/>
          </w:tblCellMar>
        </w:tblPrEx>
        <w:trPr>
          <w:trHeight w:val="600" w:hRule="atLeast"/>
          <w:jc w:val="center"/>
        </w:trPr>
        <w:tc>
          <w:tcPr>
            <w:tcW w:w="636" w:type="dxa"/>
            <w:vMerge w:val="continue"/>
            <w:tcBorders>
              <w:left w:val="single" w:color="000000" w:sz="4" w:space="0"/>
              <w:right w:val="single" w:color="000000" w:sz="4" w:space="0"/>
            </w:tcBorders>
            <w:shd w:val="clear" w:color="auto" w:fill="auto"/>
            <w:noWrap/>
            <w:vAlign w:val="center"/>
          </w:tcPr>
          <w:p>
            <w:pPr>
              <w:jc w:val="center"/>
              <w:textAlignment w:val="center"/>
              <w:rPr>
                <w:rFonts w:ascii="宋体" w:hAnsi="宋体" w:cs="宋体"/>
                <w:color w:val="000000" w:themeColor="text1"/>
                <w:highlight w:val="none"/>
                <w14:textFill>
                  <w14:solidFill>
                    <w14:schemeClr w14:val="tx1"/>
                  </w14:solidFill>
                </w14:textFill>
              </w:rPr>
            </w:pPr>
          </w:p>
        </w:tc>
        <w:tc>
          <w:tcPr>
            <w:tcW w:w="1686" w:type="dxa"/>
            <w:vMerge w:val="continue"/>
            <w:tcBorders>
              <w:left w:val="single" w:color="000000" w:sz="4" w:space="0"/>
              <w:right w:val="single" w:color="000000" w:sz="4" w:space="0"/>
            </w:tcBorders>
            <w:shd w:val="clear" w:color="auto" w:fill="auto"/>
            <w:vAlign w:val="center"/>
          </w:tcPr>
          <w:p>
            <w:pPr>
              <w:spacing w:before="0" w:after="0" w:afterAutospacing="0"/>
              <w:ind w:left="0" w:leftChars="0" w:right="0" w:rightChars="0" w:firstLine="0" w:firstLineChars="0"/>
              <w:jc w:val="center"/>
              <w:rPr>
                <w:rFonts w:ascii="宋体" w:hAnsi="宋体" w:cs="宋体"/>
                <w:b/>
                <w:bCs/>
                <w:color w:val="000000" w:themeColor="text1"/>
                <w:sz w:val="18"/>
                <w:szCs w:val="18"/>
                <w:highlight w:val="none"/>
                <w14:textFill>
                  <w14:solidFill>
                    <w14:schemeClr w14:val="tx1"/>
                  </w14:solidFill>
                </w14:textFill>
              </w:rPr>
            </w:pPr>
          </w:p>
        </w:tc>
        <w:tc>
          <w:tcPr>
            <w:tcW w:w="11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left="709" w:leftChars="0" w:right="-27" w:rightChars="0" w:hanging="709" w:firstLineChars="0"/>
              <w:jc w:val="center"/>
              <w:textAlignment w:val="center"/>
              <w:rPr>
                <w:rFonts w:hint="default" w:ascii="宋体" w:hAnsi="宋体" w:eastAsia="宋体" w:cs="宋体"/>
                <w:color w:val="000000" w:themeColor="text1"/>
                <w:highlight w:val="none"/>
                <w:lang w:val="en-US" w:eastAsia="zh-CN"/>
                <w14:textFill>
                  <w14:solidFill>
                    <w14:schemeClr w14:val="tx1"/>
                  </w14:solidFill>
                </w14:textFill>
              </w:rPr>
            </w:pPr>
            <w:r>
              <w:rPr>
                <w:rFonts w:hint="eastAsia" w:ascii="宋体" w:hAnsi="宋体" w:cs="宋体"/>
                <w:color w:val="000000" w:themeColor="text1"/>
                <w:highlight w:val="none"/>
                <w:lang w:val="en-US" w:eastAsia="zh-CN" w:bidi="ar"/>
                <w14:textFill>
                  <w14:solidFill>
                    <w14:schemeClr w14:val="tx1"/>
                  </w14:solidFill>
                </w14:textFill>
              </w:rPr>
              <w:t>9</w:t>
            </w:r>
            <w:r>
              <w:rPr>
                <w:rFonts w:hint="eastAsia" w:ascii="宋体" w:hAnsi="宋体" w:cs="宋体"/>
                <w:color w:val="000000" w:themeColor="text1"/>
                <w:highlight w:val="none"/>
                <w:lang w:bidi="ar"/>
                <w14:textFill>
                  <w14:solidFill>
                    <w14:schemeClr w14:val="tx1"/>
                  </w14:solidFill>
                </w14:textFill>
              </w:rPr>
              <w:t>&lt;m&lt;</w:t>
            </w:r>
            <w:r>
              <w:rPr>
                <w:rFonts w:hint="eastAsia" w:ascii="宋体" w:hAnsi="宋体" w:cs="宋体"/>
                <w:color w:val="000000" w:themeColor="text1"/>
                <w:highlight w:val="none"/>
                <w:lang w:val="en-US" w:eastAsia="zh-CN" w:bidi="ar"/>
                <w14:textFill>
                  <w14:solidFill>
                    <w14:schemeClr w14:val="tx1"/>
                  </w14:solidFill>
                </w14:textFill>
              </w:rPr>
              <w:t>12</w:t>
            </w:r>
          </w:p>
        </w:tc>
        <w:tc>
          <w:tcPr>
            <w:tcW w:w="48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val="0"/>
              <w:spacing w:before="0" w:after="0" w:afterAutospacing="0" w:line="288" w:lineRule="auto"/>
              <w:ind w:left="0" w:right="0" w:firstLine="0"/>
              <w:rPr>
                <w:rFonts w:hint="eastAsia" w:ascii="Times New Roman" w:hAnsi="Times New Roman" w:cs="Times New Roman"/>
                <w:kern w:val="2"/>
              </w:rPr>
            </w:pPr>
            <w:r>
              <w:rPr>
                <w:rFonts w:hint="eastAsia" w:ascii="Times New Roman" w:hAnsi="Times New Roman" w:cs="Times New Roman"/>
                <w:kern w:val="2"/>
              </w:rPr>
              <w:t>设计管理要点清晰、可行性强，至少包含工作计划编排或保证措施、质量保证措施、对拟投入人员考核及处罚管理等内容，内容充实，能满足</w:t>
            </w:r>
            <w:r>
              <w:rPr>
                <w:rFonts w:hint="eastAsia" w:ascii="Times New Roman" w:hAnsi="Times New Roman" w:cs="Times New Roman"/>
                <w:kern w:val="2"/>
                <w:lang w:val="en-US" w:eastAsia="zh-CN"/>
              </w:rPr>
              <w:t>比选文件</w:t>
            </w:r>
            <w:r>
              <w:rPr>
                <w:rFonts w:hint="eastAsia" w:ascii="Times New Roman" w:hAnsi="Times New Roman" w:cs="Times New Roman"/>
                <w:kern w:val="2"/>
              </w:rPr>
              <w:t>要求。</w:t>
            </w:r>
          </w:p>
        </w:tc>
        <w:tc>
          <w:tcPr>
            <w:tcW w:w="986" w:type="dxa"/>
            <w:vMerge w:val="continue"/>
            <w:tcBorders>
              <w:left w:val="single" w:color="000000" w:sz="4" w:space="0"/>
              <w:right w:val="single" w:color="000000" w:sz="4" w:space="0"/>
            </w:tcBorders>
            <w:shd w:val="clear" w:color="auto" w:fill="auto"/>
            <w:noWrap/>
            <w:vAlign w:val="center"/>
          </w:tcPr>
          <w:p>
            <w:pPr>
              <w:jc w:val="center"/>
              <w:rPr>
                <w:rFonts w:ascii="宋体" w:hAnsi="宋体" w:cs="宋体"/>
                <w:color w:val="000000" w:themeColor="text1"/>
                <w:highlight w:val="none"/>
                <w14:textFill>
                  <w14:solidFill>
                    <w14:schemeClr w14:val="tx1"/>
                  </w14:solidFill>
                </w14:textFill>
              </w:rPr>
            </w:pPr>
          </w:p>
        </w:tc>
      </w:tr>
      <w:tr>
        <w:tblPrEx>
          <w:tblCellMar>
            <w:top w:w="0" w:type="dxa"/>
            <w:left w:w="108" w:type="dxa"/>
            <w:bottom w:w="0" w:type="dxa"/>
            <w:right w:w="108" w:type="dxa"/>
          </w:tblCellMar>
        </w:tblPrEx>
        <w:trPr>
          <w:trHeight w:val="600" w:hRule="atLeast"/>
          <w:jc w:val="center"/>
        </w:trPr>
        <w:tc>
          <w:tcPr>
            <w:tcW w:w="636" w:type="dxa"/>
            <w:vMerge w:val="continue"/>
            <w:tcBorders>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cs="宋体"/>
                <w:color w:val="000000" w:themeColor="text1"/>
                <w:highlight w:val="none"/>
                <w14:textFill>
                  <w14:solidFill>
                    <w14:schemeClr w14:val="tx1"/>
                  </w14:solidFill>
                </w14:textFill>
              </w:rPr>
            </w:pPr>
          </w:p>
        </w:tc>
        <w:tc>
          <w:tcPr>
            <w:tcW w:w="1686" w:type="dxa"/>
            <w:vMerge w:val="continue"/>
            <w:tcBorders>
              <w:left w:val="single" w:color="000000" w:sz="4" w:space="0"/>
              <w:bottom w:val="single" w:color="000000" w:sz="4" w:space="0"/>
              <w:right w:val="single" w:color="000000" w:sz="4" w:space="0"/>
            </w:tcBorders>
            <w:shd w:val="clear" w:color="auto" w:fill="auto"/>
            <w:vAlign w:val="center"/>
          </w:tcPr>
          <w:p>
            <w:pPr>
              <w:spacing w:before="0" w:after="0" w:afterAutospacing="0"/>
              <w:ind w:left="0" w:leftChars="0" w:right="0" w:rightChars="0" w:firstLine="0" w:firstLineChars="0"/>
              <w:jc w:val="center"/>
              <w:rPr>
                <w:rFonts w:ascii="宋体" w:hAnsi="宋体" w:cs="宋体"/>
                <w:b/>
                <w:bCs/>
                <w:color w:val="000000" w:themeColor="text1"/>
                <w:sz w:val="18"/>
                <w:szCs w:val="18"/>
                <w:highlight w:val="none"/>
                <w14:textFill>
                  <w14:solidFill>
                    <w14:schemeClr w14:val="tx1"/>
                  </w14:solidFill>
                </w14:textFill>
              </w:rPr>
            </w:pPr>
          </w:p>
        </w:tc>
        <w:tc>
          <w:tcPr>
            <w:tcW w:w="11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left="709" w:leftChars="0" w:right="-27" w:rightChars="0" w:hanging="709" w:firstLineChars="0"/>
              <w:jc w:val="center"/>
              <w:textAlignment w:val="center"/>
              <w:rPr>
                <w:rFonts w:hint="eastAsia" w:ascii="宋体" w:hAnsi="宋体" w:eastAsia="宋体" w:cs="宋体"/>
                <w:color w:val="000000" w:themeColor="text1"/>
                <w:highlight w:val="none"/>
                <w:lang w:eastAsia="zh-CN"/>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0&lt;m≤</w:t>
            </w:r>
            <w:r>
              <w:rPr>
                <w:rFonts w:hint="eastAsia" w:ascii="宋体" w:hAnsi="宋体" w:cs="宋体"/>
                <w:color w:val="000000" w:themeColor="text1"/>
                <w:highlight w:val="none"/>
                <w:lang w:val="en-US" w:eastAsia="zh-CN" w:bidi="ar"/>
                <w14:textFill>
                  <w14:solidFill>
                    <w14:schemeClr w14:val="tx1"/>
                  </w14:solidFill>
                </w14:textFill>
              </w:rPr>
              <w:t>9</w:t>
            </w:r>
          </w:p>
        </w:tc>
        <w:tc>
          <w:tcPr>
            <w:tcW w:w="48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val="0"/>
              <w:spacing w:before="0" w:after="0" w:afterAutospacing="0" w:line="288" w:lineRule="auto"/>
              <w:ind w:left="0" w:right="0" w:firstLine="0"/>
              <w:rPr>
                <w:rFonts w:hint="eastAsia" w:ascii="Times New Roman" w:hAnsi="Times New Roman" w:cs="Times New Roman"/>
                <w:kern w:val="2"/>
              </w:rPr>
            </w:pPr>
            <w:r>
              <w:rPr>
                <w:rFonts w:hint="eastAsia" w:ascii="Times New Roman" w:hAnsi="Times New Roman" w:cs="Times New Roman"/>
                <w:kern w:val="2"/>
              </w:rPr>
              <w:t>无设计管理要点，缺少工作计划编排或保证措施、质量保证措施等内容，无法满足</w:t>
            </w:r>
            <w:r>
              <w:rPr>
                <w:rFonts w:hint="eastAsia" w:ascii="Times New Roman" w:hAnsi="Times New Roman" w:cs="Times New Roman"/>
                <w:kern w:val="2"/>
                <w:lang w:val="en-US" w:eastAsia="zh-CN"/>
              </w:rPr>
              <w:t>比选文件</w:t>
            </w:r>
            <w:r>
              <w:rPr>
                <w:rFonts w:hint="eastAsia" w:ascii="Times New Roman" w:hAnsi="Times New Roman" w:cs="Times New Roman"/>
                <w:kern w:val="2"/>
              </w:rPr>
              <w:t>要求。</w:t>
            </w:r>
          </w:p>
        </w:tc>
        <w:tc>
          <w:tcPr>
            <w:tcW w:w="986" w:type="dxa"/>
            <w:vMerge w:val="continue"/>
            <w:tcBorders>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themeColor="text1"/>
                <w:highlight w:val="none"/>
                <w14:textFill>
                  <w14:solidFill>
                    <w14:schemeClr w14:val="tx1"/>
                  </w14:solidFill>
                </w14:textFill>
              </w:rPr>
            </w:pPr>
          </w:p>
        </w:tc>
      </w:tr>
      <w:tr>
        <w:tblPrEx>
          <w:tblCellMar>
            <w:top w:w="0" w:type="dxa"/>
            <w:left w:w="108" w:type="dxa"/>
            <w:bottom w:w="0" w:type="dxa"/>
            <w:right w:w="108" w:type="dxa"/>
          </w:tblCellMar>
        </w:tblPrEx>
        <w:trPr>
          <w:trHeight w:val="681"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eastAsia="宋体" w:cs="宋体"/>
                <w:b/>
                <w:bCs/>
                <w:color w:val="000000" w:themeColor="text1"/>
                <w:sz w:val="21"/>
                <w:szCs w:val="21"/>
                <w:highlight w:val="none"/>
                <w:lang w:val="en-US" w:eastAsia="zh-CN" w:bidi="ar"/>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bidi="ar"/>
                <w14:textFill>
                  <w14:solidFill>
                    <w14:schemeClr w14:val="tx1"/>
                  </w14:solidFill>
                </w14:textFill>
              </w:rPr>
              <w:t>5</w:t>
            </w:r>
          </w:p>
        </w:tc>
        <w:tc>
          <w:tcPr>
            <w:tcW w:w="1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val="0"/>
              <w:spacing w:before="0" w:after="0" w:afterAutospacing="0" w:line="240" w:lineRule="auto"/>
              <w:ind w:left="0" w:right="0" w:firstLine="0"/>
              <w:jc w:val="center"/>
              <w:textAlignment w:val="center"/>
              <w:rPr>
                <w:rFonts w:hint="eastAsia" w:ascii="宋体" w:hAnsi="宋体" w:eastAsia="宋体" w:cs="宋体"/>
                <w:b/>
                <w:bCs/>
                <w:color w:val="000000" w:themeColor="text1"/>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sz w:val="21"/>
                <w:szCs w:val="21"/>
                <w:highlight w:val="none"/>
                <w:lang w:val="en-US" w:eastAsia="zh-CN" w:bidi="ar"/>
                <w14:textFill>
                  <w14:solidFill>
                    <w14:schemeClr w14:val="tx1"/>
                  </w14:solidFill>
                </w14:textFill>
              </w:rPr>
              <w:t>业绩</w:t>
            </w:r>
            <w:r>
              <w:rPr>
                <w:rFonts w:hint="eastAsia" w:ascii="宋体" w:hAnsi="宋体" w:eastAsia="宋体" w:cs="宋体"/>
                <w:b/>
                <w:bCs/>
                <w:color w:val="000000" w:themeColor="text1"/>
                <w:sz w:val="21"/>
                <w:szCs w:val="21"/>
                <w:highlight w:val="none"/>
                <w:lang w:val="en-US" w:eastAsia="zh-CN" w:bidi="ar"/>
                <w14:textFill>
                  <w14:solidFill>
                    <w14:schemeClr w14:val="tx1"/>
                  </w14:solidFill>
                </w14:textFill>
              </w:rPr>
              <w:br w:type="textWrapping"/>
            </w:r>
            <w:r>
              <w:rPr>
                <w:rFonts w:hint="eastAsia" w:ascii="宋体" w:hAnsi="宋体" w:eastAsia="宋体" w:cs="宋体"/>
                <w:b/>
                <w:bCs/>
                <w:color w:val="000000" w:themeColor="text1"/>
                <w:sz w:val="21"/>
                <w:szCs w:val="21"/>
                <w:highlight w:val="none"/>
                <w:lang w:val="en-US" w:eastAsia="zh-CN" w:bidi="ar"/>
                <w14:textFill>
                  <w14:solidFill>
                    <w14:schemeClr w14:val="tx1"/>
                  </w14:solidFill>
                </w14:textFill>
              </w:rPr>
              <w:t>（15分）</w:t>
            </w:r>
          </w:p>
        </w:tc>
        <w:tc>
          <w:tcPr>
            <w:tcW w:w="59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val="0"/>
              <w:spacing w:before="0" w:after="0" w:afterAutospacing="0" w:line="240" w:lineRule="auto"/>
              <w:ind w:left="0" w:right="0" w:firstLine="0"/>
              <w:textAlignment w:val="center"/>
              <w:rPr>
                <w:rFonts w:hint="eastAsia" w:ascii="宋体" w:hAnsi="宋体" w:cs="宋体"/>
                <w:color w:val="000000" w:themeColor="text1"/>
                <w:kern w:val="2"/>
                <w:highlight w:val="none"/>
                <w:lang w:bidi="ar"/>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比选申请人自2021年1月1日至比选申请截止时间前，承接过（完工/在建项目）1个及以上40万元（含）以上的市政工程设计项目。</w:t>
            </w:r>
            <w:r>
              <w:rPr>
                <w:rFonts w:hint="eastAsia" w:ascii="宋体" w:hAnsi="宋体" w:cs="宋体"/>
                <w:color w:val="000000" w:themeColor="text1"/>
                <w:kern w:val="2"/>
                <w:highlight w:val="none"/>
                <w:lang w:bidi="ar"/>
                <w14:textFill>
                  <w14:solidFill>
                    <w14:schemeClr w14:val="tx1"/>
                  </w14:solidFill>
                </w14:textFill>
              </w:rPr>
              <w:t>本项满分</w:t>
            </w:r>
            <w:r>
              <w:rPr>
                <w:rFonts w:hint="eastAsia" w:ascii="宋体" w:hAnsi="宋体" w:cs="宋体"/>
                <w:color w:val="000000" w:themeColor="text1"/>
                <w:kern w:val="2"/>
                <w:highlight w:val="none"/>
                <w:lang w:val="en-US" w:eastAsia="zh-CN" w:bidi="ar"/>
                <w14:textFill>
                  <w14:solidFill>
                    <w14:schemeClr w14:val="tx1"/>
                  </w14:solidFill>
                </w14:textFill>
              </w:rPr>
              <w:t>15</w:t>
            </w:r>
            <w:r>
              <w:rPr>
                <w:rFonts w:hint="eastAsia" w:ascii="宋体" w:hAnsi="宋体" w:cs="宋体"/>
                <w:color w:val="000000" w:themeColor="text1"/>
                <w:kern w:val="2"/>
                <w:highlight w:val="none"/>
                <w:lang w:bidi="ar"/>
                <w14:textFill>
                  <w14:solidFill>
                    <w14:schemeClr w14:val="tx1"/>
                  </w14:solidFill>
                </w14:textFill>
              </w:rPr>
              <w:t>分，其中不同规模业绩得分如下:</w:t>
            </w:r>
          </w:p>
          <w:p>
            <w:pPr>
              <w:widowControl w:val="0"/>
              <w:spacing w:before="0" w:after="0" w:afterAutospacing="0" w:line="240" w:lineRule="auto"/>
              <w:ind w:left="0" w:right="0" w:firstLine="0"/>
              <w:textAlignment w:val="center"/>
              <w:rPr>
                <w:rFonts w:hint="eastAsia" w:ascii="宋体" w:hAnsi="宋体" w:cs="宋体"/>
                <w:color w:val="000000" w:themeColor="text1"/>
                <w:kern w:val="2"/>
                <w:highlight w:val="none"/>
                <w:lang w:bidi="ar"/>
                <w14:textFill>
                  <w14:solidFill>
                    <w14:schemeClr w14:val="tx1"/>
                  </w14:solidFill>
                </w14:textFill>
              </w:rPr>
            </w:pPr>
            <w:r>
              <w:rPr>
                <w:rFonts w:hint="eastAsia" w:ascii="宋体" w:hAnsi="宋体" w:cs="宋体"/>
                <w:color w:val="000000" w:themeColor="text1"/>
                <w:kern w:val="2"/>
                <w:highlight w:val="none"/>
                <w:lang w:bidi="ar"/>
                <w14:textFill>
                  <w14:solidFill>
                    <w14:schemeClr w14:val="tx1"/>
                  </w14:solidFill>
                </w14:textFill>
              </w:rPr>
              <w:t>（1）</w:t>
            </w:r>
            <w:r>
              <w:rPr>
                <w:rFonts w:hint="eastAsia" w:ascii="宋体" w:hAnsi="宋体" w:cs="宋体"/>
                <w:color w:val="000000" w:themeColor="text1"/>
                <w:kern w:val="2"/>
                <w:highlight w:val="none"/>
                <w:lang w:val="en-US" w:eastAsia="zh-CN" w:bidi="ar"/>
                <w14:textFill>
                  <w14:solidFill>
                    <w14:schemeClr w14:val="tx1"/>
                  </w14:solidFill>
                </w14:textFill>
              </w:rPr>
              <w:t>40</w:t>
            </w:r>
            <w:r>
              <w:rPr>
                <w:rFonts w:hint="eastAsia" w:ascii="宋体" w:hAnsi="宋体" w:cs="宋体"/>
                <w:color w:val="000000" w:themeColor="text1"/>
                <w:kern w:val="2"/>
                <w:highlight w:val="none"/>
                <w:lang w:bidi="ar"/>
                <w14:textFill>
                  <w14:solidFill>
                    <w14:schemeClr w14:val="tx1"/>
                  </w14:solidFill>
                </w14:textFill>
              </w:rPr>
              <w:t>万元≤单项合同金额＜</w:t>
            </w:r>
            <w:r>
              <w:rPr>
                <w:rFonts w:hint="eastAsia" w:ascii="宋体" w:hAnsi="宋体" w:cs="宋体"/>
                <w:color w:val="000000" w:themeColor="text1"/>
                <w:kern w:val="2"/>
                <w:highlight w:val="none"/>
                <w:lang w:val="en-US" w:eastAsia="zh-CN" w:bidi="ar"/>
                <w14:textFill>
                  <w14:solidFill>
                    <w14:schemeClr w14:val="tx1"/>
                  </w14:solidFill>
                </w14:textFill>
              </w:rPr>
              <w:t>50</w:t>
            </w:r>
            <w:r>
              <w:rPr>
                <w:rFonts w:hint="eastAsia" w:ascii="宋体" w:hAnsi="宋体" w:cs="宋体"/>
                <w:color w:val="000000" w:themeColor="text1"/>
                <w:kern w:val="2"/>
                <w:highlight w:val="none"/>
                <w:lang w:bidi="ar"/>
                <w14:textFill>
                  <w14:solidFill>
                    <w14:schemeClr w14:val="tx1"/>
                  </w14:solidFill>
                </w14:textFill>
              </w:rPr>
              <w:t>万元的，一个得2</w:t>
            </w:r>
            <w:r>
              <w:rPr>
                <w:rFonts w:hint="eastAsia" w:ascii="宋体" w:hAnsi="宋体" w:cs="宋体"/>
                <w:color w:val="000000" w:themeColor="text1"/>
                <w:kern w:val="2"/>
                <w:highlight w:val="none"/>
                <w:lang w:val="en-US" w:eastAsia="zh-CN" w:bidi="ar"/>
                <w14:textFill>
                  <w14:solidFill>
                    <w14:schemeClr w14:val="tx1"/>
                  </w14:solidFill>
                </w14:textFill>
              </w:rPr>
              <w:t>.5</w:t>
            </w:r>
            <w:r>
              <w:rPr>
                <w:rFonts w:hint="eastAsia" w:ascii="宋体" w:hAnsi="宋体" w:cs="宋体"/>
                <w:color w:val="000000" w:themeColor="text1"/>
                <w:kern w:val="2"/>
                <w:highlight w:val="none"/>
                <w:lang w:bidi="ar"/>
                <w14:textFill>
                  <w14:solidFill>
                    <w14:schemeClr w14:val="tx1"/>
                  </w14:solidFill>
                </w14:textFill>
              </w:rPr>
              <w:t>分；</w:t>
            </w:r>
          </w:p>
          <w:p>
            <w:pPr>
              <w:widowControl w:val="0"/>
              <w:spacing w:before="0" w:after="0" w:afterAutospacing="0" w:line="240" w:lineRule="auto"/>
              <w:ind w:left="0" w:right="0" w:firstLine="0"/>
              <w:textAlignment w:val="center"/>
              <w:rPr>
                <w:rFonts w:hint="eastAsia" w:ascii="宋体" w:hAnsi="宋体" w:cs="宋体"/>
                <w:color w:val="000000" w:themeColor="text1"/>
                <w:kern w:val="2"/>
                <w:highlight w:val="none"/>
                <w:lang w:bidi="ar"/>
                <w14:textFill>
                  <w14:solidFill>
                    <w14:schemeClr w14:val="tx1"/>
                  </w14:solidFill>
                </w14:textFill>
              </w:rPr>
            </w:pPr>
            <w:r>
              <w:rPr>
                <w:rFonts w:hint="eastAsia" w:ascii="宋体" w:hAnsi="宋体" w:cs="宋体"/>
                <w:color w:val="000000" w:themeColor="text1"/>
                <w:kern w:val="2"/>
                <w:highlight w:val="none"/>
                <w:lang w:bidi="ar"/>
                <w14:textFill>
                  <w14:solidFill>
                    <w14:schemeClr w14:val="tx1"/>
                  </w14:solidFill>
                </w14:textFill>
              </w:rPr>
              <w:t>（2）</w:t>
            </w:r>
            <w:r>
              <w:rPr>
                <w:rFonts w:hint="eastAsia" w:ascii="宋体" w:hAnsi="宋体" w:cs="宋体"/>
                <w:color w:val="000000" w:themeColor="text1"/>
                <w:kern w:val="2"/>
                <w:highlight w:val="none"/>
                <w:lang w:val="en-US" w:eastAsia="zh-CN" w:bidi="ar"/>
                <w14:textFill>
                  <w14:solidFill>
                    <w14:schemeClr w14:val="tx1"/>
                  </w14:solidFill>
                </w14:textFill>
              </w:rPr>
              <w:t>50</w:t>
            </w:r>
            <w:r>
              <w:rPr>
                <w:rFonts w:hint="eastAsia" w:ascii="宋体" w:hAnsi="宋体" w:cs="宋体"/>
                <w:color w:val="000000" w:themeColor="text1"/>
                <w:kern w:val="2"/>
                <w:highlight w:val="none"/>
                <w:lang w:bidi="ar"/>
                <w14:textFill>
                  <w14:solidFill>
                    <w14:schemeClr w14:val="tx1"/>
                  </w14:solidFill>
                </w14:textFill>
              </w:rPr>
              <w:t>万元≤单项合同金额＜</w:t>
            </w:r>
            <w:r>
              <w:rPr>
                <w:rFonts w:hint="eastAsia" w:ascii="宋体" w:hAnsi="宋体" w:cs="宋体"/>
                <w:color w:val="000000" w:themeColor="text1"/>
                <w:kern w:val="2"/>
                <w:highlight w:val="none"/>
                <w:lang w:val="en-US" w:eastAsia="zh-CN" w:bidi="ar"/>
                <w14:textFill>
                  <w14:solidFill>
                    <w14:schemeClr w14:val="tx1"/>
                  </w14:solidFill>
                </w14:textFill>
              </w:rPr>
              <w:t>60</w:t>
            </w:r>
            <w:r>
              <w:rPr>
                <w:rFonts w:hint="eastAsia" w:ascii="宋体" w:hAnsi="宋体" w:cs="宋体"/>
                <w:color w:val="000000" w:themeColor="text1"/>
                <w:kern w:val="2"/>
                <w:highlight w:val="none"/>
                <w:lang w:bidi="ar"/>
                <w14:textFill>
                  <w14:solidFill>
                    <w14:schemeClr w14:val="tx1"/>
                  </w14:solidFill>
                </w14:textFill>
              </w:rPr>
              <w:t>万元的，一个得3分；</w:t>
            </w:r>
          </w:p>
          <w:p>
            <w:pPr>
              <w:widowControl w:val="0"/>
              <w:spacing w:before="0" w:after="0" w:afterAutospacing="0" w:line="240" w:lineRule="auto"/>
              <w:ind w:left="0" w:right="0" w:firstLine="0"/>
              <w:textAlignment w:val="center"/>
              <w:rPr>
                <w:rFonts w:hint="eastAsia" w:ascii="宋体" w:hAnsi="宋体" w:cs="宋体"/>
                <w:color w:val="000000" w:themeColor="text1"/>
                <w:kern w:val="2"/>
                <w:highlight w:val="none"/>
                <w:lang w:bidi="ar"/>
                <w14:textFill>
                  <w14:solidFill>
                    <w14:schemeClr w14:val="tx1"/>
                  </w14:solidFill>
                </w14:textFill>
              </w:rPr>
            </w:pPr>
            <w:r>
              <w:rPr>
                <w:rFonts w:hint="eastAsia" w:ascii="宋体" w:hAnsi="宋体" w:cs="宋体"/>
                <w:color w:val="000000" w:themeColor="text1"/>
                <w:kern w:val="2"/>
                <w:highlight w:val="none"/>
                <w:lang w:bidi="ar"/>
                <w14:textFill>
                  <w14:solidFill>
                    <w14:schemeClr w14:val="tx1"/>
                  </w14:solidFill>
                </w14:textFill>
              </w:rPr>
              <w:t>（3）单项合同金额≥</w:t>
            </w:r>
            <w:r>
              <w:rPr>
                <w:rFonts w:hint="eastAsia" w:ascii="宋体" w:hAnsi="宋体" w:cs="宋体"/>
                <w:color w:val="000000" w:themeColor="text1"/>
                <w:kern w:val="2"/>
                <w:highlight w:val="none"/>
                <w:lang w:val="en-US" w:eastAsia="zh-CN" w:bidi="ar"/>
                <w14:textFill>
                  <w14:solidFill>
                    <w14:schemeClr w14:val="tx1"/>
                  </w14:solidFill>
                </w14:textFill>
              </w:rPr>
              <w:t>60</w:t>
            </w:r>
            <w:r>
              <w:rPr>
                <w:rFonts w:hint="eastAsia" w:ascii="宋体" w:hAnsi="宋体" w:cs="宋体"/>
                <w:color w:val="000000" w:themeColor="text1"/>
                <w:kern w:val="2"/>
                <w:highlight w:val="none"/>
                <w:lang w:bidi="ar"/>
                <w14:textFill>
                  <w14:solidFill>
                    <w14:schemeClr w14:val="tx1"/>
                  </w14:solidFill>
                </w14:textFill>
              </w:rPr>
              <w:t>万元的，一个得4分；</w:t>
            </w:r>
          </w:p>
          <w:p>
            <w:pPr>
              <w:widowControl w:val="0"/>
              <w:spacing w:before="0" w:after="0" w:afterAutospacing="0" w:line="240" w:lineRule="auto"/>
              <w:ind w:left="0" w:right="0" w:firstLine="0"/>
              <w:textAlignment w:val="center"/>
              <w:rPr>
                <w:rFonts w:hint="eastAsia" w:ascii="宋体" w:hAnsi="宋体" w:cs="宋体"/>
                <w:color w:val="000000" w:themeColor="text1"/>
                <w:kern w:val="2"/>
                <w:highlight w:val="none"/>
                <w:lang w:bidi="ar"/>
                <w14:textFill>
                  <w14:solidFill>
                    <w14:schemeClr w14:val="tx1"/>
                  </w14:solidFill>
                </w14:textFill>
              </w:rPr>
            </w:pPr>
            <w:r>
              <w:rPr>
                <w:rFonts w:hint="eastAsia" w:ascii="宋体" w:hAnsi="宋体" w:cs="宋体"/>
                <w:color w:val="000000" w:themeColor="text1"/>
                <w:kern w:val="2"/>
                <w:highlight w:val="none"/>
                <w:lang w:bidi="ar"/>
                <w14:textFill>
                  <w14:solidFill>
                    <w14:schemeClr w14:val="tx1"/>
                  </w14:solidFill>
                </w14:textFill>
              </w:rPr>
              <w:t>提供下述材料之一即可：①合同文件；②中标通知书；③业主证明材料。所提供材料需能证明符合业绩内容，否则视为无效证明文件，提供复印件加盖比选申请人公章，原件备查。</w:t>
            </w:r>
          </w:p>
        </w:tc>
        <w:tc>
          <w:tcPr>
            <w:tcW w:w="9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themeColor="text1"/>
                <w:highlight w:val="none"/>
                <w14:textFill>
                  <w14:solidFill>
                    <w14:schemeClr w14:val="tx1"/>
                  </w14:solidFill>
                </w14:textFill>
              </w:rPr>
            </w:pPr>
          </w:p>
        </w:tc>
      </w:tr>
      <w:tr>
        <w:tblPrEx>
          <w:tblCellMar>
            <w:top w:w="0" w:type="dxa"/>
            <w:left w:w="108" w:type="dxa"/>
            <w:bottom w:w="0" w:type="dxa"/>
            <w:right w:w="108" w:type="dxa"/>
          </w:tblCellMar>
        </w:tblPrEx>
        <w:trPr>
          <w:trHeight w:val="540" w:hRule="atLeast"/>
          <w:jc w:val="center"/>
        </w:trPr>
        <w:tc>
          <w:tcPr>
            <w:tcW w:w="232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技术文件得分</w:t>
            </w:r>
          </w:p>
        </w:tc>
        <w:tc>
          <w:tcPr>
            <w:tcW w:w="11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default" w:ascii="宋体" w:hAnsi="宋体" w:eastAsia="宋体" w:cs="宋体"/>
                <w:color w:val="000000" w:themeColor="text1"/>
                <w:highlight w:val="none"/>
                <w:lang w:val="en-US" w:eastAsia="zh-CN"/>
                <w14:textFill>
                  <w14:solidFill>
                    <w14:schemeClr w14:val="tx1"/>
                  </w14:solidFill>
                </w14:textFill>
              </w:rPr>
            </w:pPr>
            <w:r>
              <w:rPr>
                <w:rFonts w:hint="eastAsia" w:ascii="宋体" w:hAnsi="宋体" w:cs="宋体"/>
                <w:color w:val="000000" w:themeColor="text1"/>
                <w:highlight w:val="none"/>
                <w:lang w:val="en-US" w:eastAsia="zh-CN" w:bidi="ar"/>
                <w14:textFill>
                  <w14:solidFill>
                    <w14:schemeClr w14:val="tx1"/>
                  </w14:solidFill>
                </w14:textFill>
              </w:rPr>
              <w:t>60</w:t>
            </w:r>
          </w:p>
        </w:tc>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cs="宋体"/>
                <w:color w:val="000000" w:themeColor="text1"/>
                <w:highlight w:val="none"/>
                <w14:textFill>
                  <w14:solidFill>
                    <w14:schemeClr w14:val="tx1"/>
                  </w14:solidFill>
                </w14:textFill>
              </w:rPr>
            </w:pPr>
          </w:p>
        </w:tc>
        <w:tc>
          <w:tcPr>
            <w:tcW w:w="9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themeColor="text1"/>
                <w:sz w:val="22"/>
                <w:szCs w:val="22"/>
                <w:highlight w:val="none"/>
                <w14:textFill>
                  <w14:solidFill>
                    <w14:schemeClr w14:val="tx1"/>
                  </w14:solidFill>
                </w14:textFill>
              </w:rPr>
            </w:pPr>
          </w:p>
        </w:tc>
      </w:tr>
    </w:tbl>
    <w:p>
      <w:pPr>
        <w:spacing w:before="0" w:after="0"/>
        <w:ind w:left="0" w:right="0" w:firstLine="0"/>
        <w:jc w:val="left"/>
        <w:rPr>
          <w:b/>
          <w:bCs/>
          <w:color w:val="000000" w:themeColor="text1"/>
          <w:highlight w:val="none"/>
          <w14:textFill>
            <w14:solidFill>
              <w14:schemeClr w14:val="tx1"/>
            </w14:solidFill>
          </w14:textFill>
        </w:rPr>
      </w:pPr>
    </w:p>
    <w:p>
      <w:pPr>
        <w:rPr>
          <w:b/>
          <w:bCs/>
          <w:color w:val="000000" w:themeColor="text1"/>
          <w:highlight w:val="none"/>
          <w14:textFill>
            <w14:solidFill>
              <w14:schemeClr w14:val="tx1"/>
            </w14:solidFill>
          </w14:textFill>
        </w:rPr>
      </w:pPr>
      <w:r>
        <w:rPr>
          <w:b/>
          <w:bCs/>
          <w:color w:val="000000" w:themeColor="text1"/>
          <w:highlight w:val="none"/>
          <w14:textFill>
            <w14:solidFill>
              <w14:schemeClr w14:val="tx1"/>
            </w14:solidFill>
          </w14:textFill>
        </w:rPr>
        <w:br w:type="page"/>
      </w:r>
    </w:p>
    <w:p>
      <w:pPr>
        <w:spacing w:before="0" w:after="0"/>
        <w:ind w:left="0" w:right="0" w:firstLine="0"/>
        <w:jc w:val="left"/>
        <w:rPr>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附表四《价格文件评分表》</w:t>
      </w:r>
    </w:p>
    <w:p>
      <w:pPr>
        <w:spacing w:before="0" w:after="0"/>
        <w:ind w:left="0" w:right="0" w:firstLine="0"/>
        <w:jc w:val="center"/>
        <w:rPr>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价格文件评分表</w:t>
      </w:r>
    </w:p>
    <w:tbl>
      <w:tblPr>
        <w:tblStyle w:val="35"/>
        <w:tblW w:w="98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8"/>
        <w:gridCol w:w="1108"/>
        <w:gridCol w:w="2366"/>
        <w:gridCol w:w="3013"/>
        <w:gridCol w:w="1108"/>
        <w:gridCol w:w="1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宋体" w:hAnsi="宋体" w:cs="宋体"/>
                <w:color w:val="000000" w:themeColor="text1"/>
                <w:highlight w:val="none"/>
                <w:lang w:bidi="ar"/>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序号</w:t>
            </w:r>
          </w:p>
        </w:tc>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宋体" w:hAnsi="宋体" w:cs="宋体"/>
                <w:color w:val="000000" w:themeColor="text1"/>
                <w:highlight w:val="none"/>
                <w:lang w:bidi="ar"/>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项目</w:t>
            </w:r>
          </w:p>
        </w:tc>
        <w:tc>
          <w:tcPr>
            <w:tcW w:w="326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宋体" w:hAnsi="宋体" w:cs="宋体"/>
                <w:color w:val="000000" w:themeColor="text1"/>
                <w:highlight w:val="none"/>
                <w:lang w:bidi="ar"/>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评审基准价</w:t>
            </w:r>
          </w:p>
        </w:tc>
        <w:tc>
          <w:tcPr>
            <w:tcW w:w="410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宋体" w:hAnsi="宋体" w:cs="宋体"/>
                <w:color w:val="000000" w:themeColor="text1"/>
                <w:highlight w:val="none"/>
                <w:lang w:bidi="ar"/>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评分标准</w:t>
            </w:r>
          </w:p>
        </w:tc>
        <w:tc>
          <w:tcPr>
            <w:tcW w:w="87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宋体" w:hAnsi="宋体" w:cs="宋体"/>
                <w:color w:val="000000" w:themeColor="text1"/>
                <w:highlight w:val="none"/>
                <w:lang w:bidi="ar"/>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分值</w:t>
            </w:r>
          </w:p>
        </w:tc>
        <w:tc>
          <w:tcPr>
            <w:tcW w:w="60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宋体" w:hAnsi="宋体" w:cs="宋体"/>
                <w:color w:val="000000" w:themeColor="text1"/>
                <w:highlight w:val="none"/>
                <w:lang w:bidi="ar"/>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4" w:hRule="atLeast"/>
          <w:tblHeader/>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宋体" w:hAnsi="宋体" w:cs="宋体"/>
                <w:color w:val="000000" w:themeColor="text1"/>
                <w:highlight w:val="none"/>
                <w:lang w:bidi="ar"/>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1</w:t>
            </w:r>
          </w:p>
        </w:tc>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宋体" w:hAnsi="宋体" w:cs="宋体"/>
                <w:color w:val="000000" w:themeColor="text1"/>
                <w:highlight w:val="none"/>
                <w:lang w:bidi="ar"/>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比选报价</w:t>
            </w:r>
          </w:p>
        </w:tc>
        <w:tc>
          <w:tcPr>
            <w:tcW w:w="3261" w:type="dxa"/>
            <w:tcBorders>
              <w:top w:val="single" w:color="auto" w:sz="4" w:space="0"/>
              <w:left w:val="single" w:color="auto" w:sz="4" w:space="0"/>
              <w:bottom w:val="single" w:color="auto" w:sz="4" w:space="0"/>
              <w:right w:val="single" w:color="auto" w:sz="4" w:space="0"/>
            </w:tcBorders>
            <w:vAlign w:val="center"/>
          </w:tcPr>
          <w:p>
            <w:pPr>
              <w:widowControl w:val="0"/>
              <w:spacing w:before="0" w:after="0" w:afterAutospacing="0" w:line="240" w:lineRule="auto"/>
              <w:ind w:left="0" w:right="0" w:firstLine="0"/>
              <w:jc w:val="center"/>
              <w:textAlignment w:val="center"/>
              <w:rPr>
                <w:rFonts w:hint="eastAsia" w:ascii="宋体" w:hAnsi="宋体" w:cs="宋体"/>
                <w:color w:val="000000" w:themeColor="text1"/>
                <w:kern w:val="2"/>
                <w:highlight w:val="none"/>
                <w:lang w:val="en-US" w:eastAsia="zh-CN" w:bidi="ar"/>
                <w14:textFill>
                  <w14:solidFill>
                    <w14:schemeClr w14:val="tx1"/>
                  </w14:solidFill>
                </w14:textFill>
              </w:rPr>
            </w:pPr>
            <w:r>
              <w:rPr>
                <w:rFonts w:hint="eastAsia" w:ascii="宋体" w:hAnsi="宋体" w:cs="宋体"/>
                <w:color w:val="000000" w:themeColor="text1"/>
                <w:highlight w:val="none"/>
                <w:lang w:eastAsia="zh-CN" w:bidi="ar"/>
                <w14:textFill>
                  <w14:solidFill>
                    <w14:schemeClr w14:val="tx1"/>
                  </w14:solidFill>
                </w14:textFill>
              </w:rPr>
              <w:t>（</w:t>
            </w:r>
            <w:r>
              <w:rPr>
                <w:rFonts w:hint="eastAsia" w:ascii="宋体" w:hAnsi="宋体" w:cs="宋体"/>
                <w:color w:val="000000" w:themeColor="text1"/>
                <w:highlight w:val="none"/>
                <w:lang w:val="en-US" w:eastAsia="zh-CN" w:bidi="ar"/>
                <w14:textFill>
                  <w14:solidFill>
                    <w14:schemeClr w14:val="tx1"/>
                  </w14:solidFill>
                </w14:textFill>
              </w:rPr>
              <w:t>1</w:t>
            </w:r>
            <w:r>
              <w:rPr>
                <w:rFonts w:hint="eastAsia" w:ascii="宋体" w:hAnsi="宋体" w:cs="宋体"/>
                <w:color w:val="000000" w:themeColor="text1"/>
                <w:kern w:val="2"/>
                <w:highlight w:val="none"/>
                <w:lang w:val="en-US" w:eastAsia="zh-CN" w:bidi="ar"/>
                <w14:textFill>
                  <w14:solidFill>
                    <w14:schemeClr w14:val="tx1"/>
                  </w14:solidFill>
                </w14:textFill>
              </w:rPr>
              <w:t>）比选申请人总报价大于上控价时比选申请文件作无效处理。</w:t>
            </w:r>
          </w:p>
          <w:p>
            <w:pPr>
              <w:widowControl w:val="0"/>
              <w:spacing w:before="0" w:after="0" w:afterAutospacing="0" w:line="240" w:lineRule="auto"/>
              <w:ind w:left="0" w:right="0" w:firstLine="0"/>
              <w:jc w:val="center"/>
              <w:textAlignment w:val="center"/>
              <w:rPr>
                <w:rFonts w:hint="eastAsia" w:ascii="宋体" w:hAnsi="宋体" w:cs="宋体"/>
                <w:color w:val="000000" w:themeColor="text1"/>
                <w:kern w:val="2"/>
                <w:highlight w:val="none"/>
                <w:lang w:val="en-US" w:eastAsia="zh-CN" w:bidi="ar"/>
                <w14:textFill>
                  <w14:solidFill>
                    <w14:schemeClr w14:val="tx1"/>
                  </w14:solidFill>
                </w14:textFill>
              </w:rPr>
            </w:pPr>
            <w:r>
              <w:rPr>
                <w:rFonts w:hint="eastAsia" w:ascii="宋体" w:hAnsi="宋体" w:cs="宋体"/>
                <w:color w:val="000000" w:themeColor="text1"/>
                <w:kern w:val="2"/>
                <w:highlight w:val="none"/>
                <w:lang w:val="en-US" w:eastAsia="zh-CN" w:bidi="ar"/>
                <w14:textFill>
                  <w14:solidFill>
                    <w14:schemeClr w14:val="tx1"/>
                  </w14:solidFill>
                </w14:textFill>
              </w:rPr>
              <w:t>（2）当比选申请人总报价小于或者等于上控价时，资格审查合格的有效报价比选申请人在3家以上（含3家）的，将去掉最高的有效报价后（报价相同的一并去掉），取不含税总报价的算术平均值作为评审基准价。基准价和比选申请价格得分计算结果均保留小数点后两位。</w:t>
            </w:r>
          </w:p>
          <w:p>
            <w:pPr>
              <w:widowControl w:val="0"/>
              <w:spacing w:before="0" w:after="0" w:afterAutospacing="0" w:line="240" w:lineRule="auto"/>
              <w:ind w:left="0" w:right="0" w:firstLine="0"/>
              <w:jc w:val="center"/>
              <w:textAlignment w:val="center"/>
              <w:rPr>
                <w:rFonts w:hint="default" w:ascii="宋体" w:hAnsi="宋体" w:eastAsia="宋体" w:cs="宋体"/>
                <w:color w:val="000000" w:themeColor="text1"/>
                <w:highlight w:val="none"/>
                <w:lang w:val="en-US" w:eastAsia="zh-CN" w:bidi="ar"/>
                <w14:textFill>
                  <w14:solidFill>
                    <w14:schemeClr w14:val="tx1"/>
                  </w14:solidFill>
                </w14:textFill>
              </w:rPr>
            </w:pPr>
            <w:r>
              <w:rPr>
                <w:rFonts w:hint="eastAsia" w:ascii="宋体" w:hAnsi="宋体" w:cs="宋体"/>
                <w:color w:val="000000" w:themeColor="text1"/>
                <w:kern w:val="2"/>
                <w:highlight w:val="none"/>
                <w:lang w:val="en-US" w:eastAsia="zh-CN" w:bidi="ar"/>
                <w14:textFill>
                  <w14:solidFill>
                    <w14:schemeClr w14:val="tx1"/>
                  </w14:solidFill>
                </w14:textFill>
              </w:rPr>
              <w:t>（3）如所有比选申请人的报价相同，则该报价为评审基准价。</w:t>
            </w:r>
          </w:p>
        </w:tc>
        <w:tc>
          <w:tcPr>
            <w:tcW w:w="4107" w:type="dxa"/>
            <w:tcBorders>
              <w:top w:val="single" w:color="auto" w:sz="4" w:space="0"/>
              <w:left w:val="single" w:color="auto" w:sz="4" w:space="0"/>
              <w:bottom w:val="single" w:color="auto" w:sz="4" w:space="0"/>
              <w:right w:val="single" w:color="auto" w:sz="4" w:space="0"/>
            </w:tcBorders>
            <w:vAlign w:val="center"/>
          </w:tcPr>
          <w:p>
            <w:pPr>
              <w:widowControl w:val="0"/>
              <w:spacing w:before="0" w:after="0" w:afterAutospacing="0" w:line="240" w:lineRule="auto"/>
              <w:ind w:left="0" w:right="0" w:firstLine="0"/>
              <w:jc w:val="center"/>
              <w:textAlignment w:val="center"/>
              <w:rPr>
                <w:rFonts w:hint="eastAsia" w:ascii="宋体" w:hAnsi="宋体" w:cs="宋体"/>
                <w:color w:val="000000" w:themeColor="text1"/>
                <w:highlight w:val="none"/>
                <w:lang w:val="en-US" w:eastAsia="zh-CN" w:bidi="ar"/>
                <w14:textFill>
                  <w14:solidFill>
                    <w14:schemeClr w14:val="tx1"/>
                  </w14:solidFill>
                </w14:textFill>
              </w:rPr>
            </w:pPr>
            <w:r>
              <w:rPr>
                <w:rFonts w:hint="eastAsia" w:ascii="宋体" w:hAnsi="宋体" w:cs="宋体"/>
                <w:color w:val="000000" w:themeColor="text1"/>
                <w:highlight w:val="none"/>
                <w:lang w:val="en-US" w:eastAsia="zh-CN" w:bidi="ar"/>
                <w14:textFill>
                  <w14:solidFill>
                    <w14:schemeClr w14:val="tx1"/>
                  </w14:solidFill>
                </w14:textFill>
              </w:rPr>
              <w:t>评审时以经评审的基准价为最高分，采用内插法计算，比选申请人报价每高于基准价1％的扣1分，每低于基准价1％的扣0.5分，扣完即止。</w:t>
            </w:r>
          </w:p>
          <w:p>
            <w:pPr>
              <w:widowControl w:val="0"/>
              <w:spacing w:before="0" w:after="0" w:afterAutospacing="0" w:line="240" w:lineRule="auto"/>
              <w:ind w:left="0" w:right="0" w:firstLine="0"/>
              <w:jc w:val="center"/>
              <w:textAlignment w:val="center"/>
              <w:rPr>
                <w:rFonts w:hint="eastAsia" w:ascii="宋体" w:hAnsi="宋体" w:cs="宋体"/>
                <w:color w:val="000000" w:themeColor="text1"/>
                <w:highlight w:val="none"/>
                <w:lang w:val="en-US" w:eastAsia="zh-CN" w:bidi="ar"/>
                <w14:textFill>
                  <w14:solidFill>
                    <w14:schemeClr w14:val="tx1"/>
                  </w14:solidFill>
                </w14:textFill>
              </w:rPr>
            </w:pPr>
            <w:r>
              <w:rPr>
                <w:rFonts w:hint="eastAsia" w:ascii="宋体" w:hAnsi="宋体" w:cs="宋体"/>
                <w:color w:val="000000" w:themeColor="text1"/>
                <w:highlight w:val="none"/>
                <w:lang w:val="en-US" w:eastAsia="zh-CN" w:bidi="ar"/>
                <w14:textFill>
                  <w14:solidFill>
                    <w14:schemeClr w14:val="tx1"/>
                  </w14:solidFill>
                </w14:textFill>
              </w:rPr>
              <w:t>1）当评审价等于基准价时，比选申请人的价格得分为40分；</w:t>
            </w:r>
          </w:p>
          <w:p>
            <w:pPr>
              <w:widowControl w:val="0"/>
              <w:spacing w:before="0" w:after="0" w:afterAutospacing="0" w:line="240" w:lineRule="auto"/>
              <w:ind w:left="0" w:right="0" w:firstLine="0"/>
              <w:jc w:val="center"/>
              <w:textAlignment w:val="center"/>
              <w:rPr>
                <w:rFonts w:hint="eastAsia" w:ascii="宋体" w:hAnsi="宋体" w:cs="宋体"/>
                <w:color w:val="000000" w:themeColor="text1"/>
                <w:highlight w:val="none"/>
                <w:lang w:val="en-US" w:eastAsia="zh-CN" w:bidi="ar"/>
                <w14:textFill>
                  <w14:solidFill>
                    <w14:schemeClr w14:val="tx1"/>
                  </w14:solidFill>
                </w14:textFill>
              </w:rPr>
            </w:pPr>
            <w:r>
              <w:rPr>
                <w:rFonts w:hint="eastAsia" w:ascii="宋体" w:hAnsi="宋体" w:cs="宋体"/>
                <w:color w:val="000000" w:themeColor="text1"/>
                <w:highlight w:val="none"/>
                <w:lang w:val="en-US" w:eastAsia="zh-CN" w:bidi="ar"/>
                <w14:textFill>
                  <w14:solidFill>
                    <w14:schemeClr w14:val="tx1"/>
                  </w14:solidFill>
                </w14:textFill>
              </w:rPr>
              <w:t>2）当评审价高于基准价时，每高于基准价的1%，比选申请人的价格得分扣1分，中间数按内插法计算，即：某比选申请人价格分=40-（评审价-基准价）/基准价×100×1；</w:t>
            </w:r>
          </w:p>
          <w:p>
            <w:pPr>
              <w:widowControl w:val="0"/>
              <w:spacing w:before="0" w:after="0" w:afterAutospacing="0" w:line="240" w:lineRule="auto"/>
              <w:ind w:left="0" w:right="0" w:firstLine="0"/>
              <w:jc w:val="center"/>
              <w:textAlignment w:val="center"/>
              <w:rPr>
                <w:rFonts w:hint="eastAsia" w:ascii="宋体" w:hAnsi="宋体" w:cs="宋体"/>
                <w:color w:val="000000" w:themeColor="text1"/>
                <w:highlight w:val="none"/>
                <w:lang w:val="en-US" w:eastAsia="zh-CN" w:bidi="ar"/>
                <w14:textFill>
                  <w14:solidFill>
                    <w14:schemeClr w14:val="tx1"/>
                  </w14:solidFill>
                </w14:textFill>
              </w:rPr>
            </w:pPr>
            <w:r>
              <w:rPr>
                <w:rFonts w:hint="eastAsia" w:ascii="宋体" w:hAnsi="宋体" w:cs="宋体"/>
                <w:color w:val="000000" w:themeColor="text1"/>
                <w:highlight w:val="none"/>
                <w:lang w:val="en-US" w:eastAsia="zh-CN" w:bidi="ar"/>
                <w14:textFill>
                  <w14:solidFill>
                    <w14:schemeClr w14:val="tx1"/>
                  </w14:solidFill>
                </w14:textFill>
              </w:rPr>
              <w:t>3）当评审价低于基准价时，每低于基准价的1%，比选申请人的价格得分扣0.5分，中间数按内插法计算，即:某比选申请人价格分=40-（基准价-评审价）/基准价×100×0.5；</w:t>
            </w:r>
          </w:p>
          <w:p>
            <w:pPr>
              <w:widowControl w:val="0"/>
              <w:spacing w:before="0" w:after="0" w:afterAutospacing="0" w:line="240" w:lineRule="auto"/>
              <w:ind w:left="0" w:right="0" w:firstLine="0"/>
              <w:jc w:val="center"/>
              <w:textAlignment w:val="center"/>
              <w:rPr>
                <w:rFonts w:hint="eastAsia" w:ascii="宋体" w:hAnsi="宋体" w:cs="宋体"/>
                <w:color w:val="000000" w:themeColor="text1"/>
                <w:highlight w:val="none"/>
                <w:lang w:bidi="ar"/>
                <w14:textFill>
                  <w14:solidFill>
                    <w14:schemeClr w14:val="tx1"/>
                  </w14:solidFill>
                </w14:textFill>
              </w:rPr>
            </w:pPr>
            <w:r>
              <w:rPr>
                <w:rFonts w:hint="eastAsia" w:ascii="宋体" w:hAnsi="宋体" w:cs="宋体"/>
                <w:color w:val="000000" w:themeColor="text1"/>
                <w:highlight w:val="none"/>
                <w:lang w:val="en-US" w:eastAsia="zh-CN" w:bidi="ar"/>
                <w14:textFill>
                  <w14:solidFill>
                    <w14:schemeClr w14:val="tx1"/>
                  </w14:solidFill>
                </w14:textFill>
              </w:rPr>
              <w:t>本项最低为0分。</w:t>
            </w:r>
          </w:p>
        </w:tc>
        <w:tc>
          <w:tcPr>
            <w:tcW w:w="87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宋体" w:hAnsi="宋体" w:cs="宋体"/>
                <w:color w:val="000000" w:themeColor="text1"/>
                <w:highlight w:val="none"/>
                <w:lang w:bidi="ar"/>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0≤m≤</w:t>
            </w:r>
            <w:r>
              <w:rPr>
                <w:rFonts w:hint="eastAsia" w:ascii="宋体" w:hAnsi="宋体" w:cs="宋体"/>
                <w:color w:val="000000" w:themeColor="text1"/>
                <w:highlight w:val="none"/>
                <w:lang w:val="en-US" w:eastAsia="zh-CN" w:bidi="ar"/>
                <w14:textFill>
                  <w14:solidFill>
                    <w14:schemeClr w14:val="tx1"/>
                  </w14:solidFill>
                </w14:textFill>
              </w:rPr>
              <w:t>4</w:t>
            </w:r>
            <w:r>
              <w:rPr>
                <w:rFonts w:hint="eastAsia" w:ascii="宋体" w:hAnsi="宋体" w:cs="宋体"/>
                <w:color w:val="000000" w:themeColor="text1"/>
                <w:highlight w:val="none"/>
                <w:lang w:bidi="ar"/>
                <w14:textFill>
                  <w14:solidFill>
                    <w14:schemeClr w14:val="tx1"/>
                  </w14:solidFill>
                </w14:textFill>
              </w:rPr>
              <w:t>0</w:t>
            </w:r>
          </w:p>
        </w:tc>
        <w:tc>
          <w:tcPr>
            <w:tcW w:w="60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宋体" w:hAnsi="宋体" w:cs="宋体"/>
                <w:color w:val="000000" w:themeColor="text1"/>
                <w:highlight w:val="none"/>
                <w:lang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宋体" w:hAnsi="宋体" w:cs="宋体"/>
                <w:color w:val="000000" w:themeColor="text1"/>
                <w:highlight w:val="none"/>
                <w:lang w:bidi="ar"/>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价格文件得分</w:t>
            </w:r>
          </w:p>
        </w:tc>
        <w:tc>
          <w:tcPr>
            <w:tcW w:w="7368" w:type="dxa"/>
            <w:gridSpan w:val="2"/>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default" w:ascii="宋体" w:hAnsi="宋体" w:cs="宋体"/>
                <w:color w:val="000000" w:themeColor="text1"/>
                <w:highlight w:val="none"/>
                <w:lang w:val="en-US" w:eastAsia="zh-CN" w:bidi="ar"/>
                <w14:textFill>
                  <w14:solidFill>
                    <w14:schemeClr w14:val="tx1"/>
                  </w14:solidFill>
                </w14:textFill>
              </w:rPr>
            </w:pPr>
            <w:r>
              <w:rPr>
                <w:rFonts w:hint="eastAsia" w:ascii="宋体" w:hAnsi="宋体" w:cs="宋体"/>
                <w:color w:val="000000" w:themeColor="text1"/>
                <w:highlight w:val="none"/>
                <w:lang w:val="en-US" w:eastAsia="zh-CN" w:bidi="ar"/>
                <w14:textFill>
                  <w14:solidFill>
                    <w14:schemeClr w14:val="tx1"/>
                  </w14:solidFill>
                </w14:textFill>
              </w:rPr>
              <w:t>40</w:t>
            </w:r>
          </w:p>
        </w:tc>
        <w:tc>
          <w:tcPr>
            <w:tcW w:w="877" w:type="dxa"/>
            <w:tcBorders>
              <w:top w:val="single" w:color="auto" w:sz="4" w:space="0"/>
              <w:left w:val="single" w:color="auto" w:sz="4" w:space="0"/>
              <w:bottom w:val="single" w:color="auto" w:sz="4" w:space="0"/>
              <w:right w:val="single" w:color="auto" w:sz="4" w:space="0"/>
            </w:tcBorders>
          </w:tcPr>
          <w:p>
            <w:pPr>
              <w:jc w:val="center"/>
              <w:textAlignment w:val="center"/>
              <w:rPr>
                <w:rFonts w:hint="eastAsia" w:ascii="宋体" w:hAnsi="宋体" w:cs="宋体"/>
                <w:color w:val="000000" w:themeColor="text1"/>
                <w:highlight w:val="none"/>
                <w:lang w:bidi="ar"/>
                <w14:textFill>
                  <w14:solidFill>
                    <w14:schemeClr w14:val="tx1"/>
                  </w14:solidFill>
                </w14:textFill>
              </w:rPr>
            </w:pPr>
          </w:p>
        </w:tc>
        <w:tc>
          <w:tcPr>
            <w:tcW w:w="607" w:type="dxa"/>
            <w:tcBorders>
              <w:top w:val="single" w:color="auto" w:sz="4" w:space="0"/>
              <w:left w:val="single" w:color="auto" w:sz="4" w:space="0"/>
              <w:bottom w:val="single" w:color="auto" w:sz="4" w:space="0"/>
              <w:right w:val="single" w:color="auto" w:sz="4" w:space="0"/>
            </w:tcBorders>
          </w:tcPr>
          <w:p>
            <w:pPr>
              <w:jc w:val="center"/>
              <w:textAlignment w:val="center"/>
              <w:rPr>
                <w:rFonts w:hint="eastAsia" w:ascii="宋体" w:hAnsi="宋体" w:cs="宋体"/>
                <w:color w:val="000000" w:themeColor="text1"/>
                <w:highlight w:val="none"/>
                <w:lang w:bidi="ar"/>
                <w14:textFill>
                  <w14:solidFill>
                    <w14:schemeClr w14:val="tx1"/>
                  </w14:solidFill>
                </w14:textFill>
              </w:rPr>
            </w:pPr>
          </w:p>
        </w:tc>
      </w:tr>
    </w:tbl>
    <w:p>
      <w:pPr>
        <w:pStyle w:val="15"/>
        <w:ind w:left="707" w:leftChars="207" w:hanging="272" w:hangingChars="136"/>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注：比选报价如有修正，需填写附表《比选报价修正表》并由比选人代表签字确认。</w:t>
      </w:r>
    </w:p>
    <w:p>
      <w:pPr>
        <w:pStyle w:val="15"/>
        <w:ind w:left="707" w:leftChars="207" w:hanging="272" w:hangingChars="136"/>
        <w:rPr>
          <w:color w:val="000000" w:themeColor="text1"/>
          <w:highlight w:val="none"/>
          <w14:textFill>
            <w14:solidFill>
              <w14:schemeClr w14:val="tx1"/>
            </w14:solidFill>
          </w14:textFill>
        </w:rPr>
      </w:pPr>
    </w:p>
    <w:p>
      <w:pPr>
        <w:pStyle w:val="15"/>
        <w:ind w:left="707" w:leftChars="207" w:hanging="272" w:hangingChars="136"/>
        <w:rPr>
          <w:color w:val="000000" w:themeColor="text1"/>
          <w:highlight w:val="none"/>
          <w14:textFill>
            <w14:solidFill>
              <w14:schemeClr w14:val="tx1"/>
            </w14:solidFill>
          </w14:textFill>
        </w:rPr>
      </w:pP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p>
    <w:p>
      <w:pPr>
        <w:pStyle w:val="6"/>
      </w:pPr>
    </w:p>
    <w:p>
      <w:pPr>
        <w:spacing w:before="0" w:after="0"/>
        <w:ind w:left="0" w:right="0" w:firstLine="0"/>
        <w:jc w:val="left"/>
        <w:rPr>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附表五综合评审得分表</w:t>
      </w:r>
    </w:p>
    <w:p>
      <w:pPr>
        <w:pStyle w:val="15"/>
        <w:jc w:val="center"/>
        <w:rPr>
          <w:rFonts w:hAnsi="宋体" w:cs="Times New Roman"/>
          <w:b/>
          <w:color w:val="000000" w:themeColor="text1"/>
          <w:sz w:val="28"/>
          <w:szCs w:val="28"/>
          <w:highlight w:val="none"/>
          <w14:textFill>
            <w14:solidFill>
              <w14:schemeClr w14:val="tx1"/>
            </w14:solidFill>
          </w14:textFill>
        </w:rPr>
      </w:pPr>
      <w:r>
        <w:rPr>
          <w:rFonts w:hint="eastAsia" w:hAnsi="宋体" w:cs="Times New Roman"/>
          <w:b/>
          <w:color w:val="000000" w:themeColor="text1"/>
          <w:sz w:val="28"/>
          <w:szCs w:val="28"/>
          <w:highlight w:val="none"/>
          <w14:textFill>
            <w14:solidFill>
              <w14:schemeClr w14:val="tx1"/>
            </w14:solidFill>
          </w14:textFill>
        </w:rPr>
        <w:t>综合评审得分表</w:t>
      </w:r>
    </w:p>
    <w:tbl>
      <w:tblPr>
        <w:tblStyle w:val="36"/>
        <w:tblW w:w="90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04"/>
        <w:gridCol w:w="3024"/>
        <w:gridCol w:w="2657"/>
        <w:gridCol w:w="13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3" w:hRule="atLeast"/>
          <w:jc w:val="center"/>
        </w:trPr>
        <w:tc>
          <w:tcPr>
            <w:tcW w:w="2004" w:type="dxa"/>
            <w:vAlign w:val="center"/>
          </w:tcPr>
          <w:p>
            <w:pPr>
              <w:spacing w:before="0" w:line="240" w:lineRule="auto"/>
              <w:ind w:right="0"/>
              <w:jc w:val="center"/>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序号</w:t>
            </w:r>
          </w:p>
        </w:tc>
        <w:tc>
          <w:tcPr>
            <w:tcW w:w="3024" w:type="dxa"/>
            <w:vAlign w:val="center"/>
          </w:tcPr>
          <w:p>
            <w:pPr>
              <w:spacing w:before="0" w:line="240" w:lineRule="auto"/>
              <w:ind w:left="0" w:right="0" w:firstLine="0"/>
              <w:jc w:val="center"/>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项目</w:t>
            </w:r>
          </w:p>
        </w:tc>
        <w:tc>
          <w:tcPr>
            <w:tcW w:w="2657" w:type="dxa"/>
            <w:vAlign w:val="center"/>
          </w:tcPr>
          <w:p>
            <w:pPr>
              <w:spacing w:before="0" w:line="240" w:lineRule="auto"/>
              <w:ind w:right="0"/>
              <w:jc w:val="center"/>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满分</w:t>
            </w:r>
          </w:p>
        </w:tc>
        <w:tc>
          <w:tcPr>
            <w:tcW w:w="0" w:type="auto"/>
            <w:vAlign w:val="center"/>
          </w:tcPr>
          <w:p>
            <w:pPr>
              <w:spacing w:before="0" w:line="240" w:lineRule="auto"/>
              <w:ind w:right="0"/>
              <w:jc w:val="center"/>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5" w:hRule="atLeast"/>
          <w:jc w:val="center"/>
        </w:trPr>
        <w:tc>
          <w:tcPr>
            <w:tcW w:w="2004" w:type="dxa"/>
            <w:vAlign w:val="center"/>
          </w:tcPr>
          <w:p>
            <w:pPr>
              <w:pStyle w:val="15"/>
              <w:jc w:val="center"/>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1</w:t>
            </w:r>
          </w:p>
        </w:tc>
        <w:tc>
          <w:tcPr>
            <w:tcW w:w="3024" w:type="dxa"/>
            <w:vAlign w:val="center"/>
          </w:tcPr>
          <w:p>
            <w:pPr>
              <w:pStyle w:val="15"/>
              <w:jc w:val="center"/>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技术文件得分</w:t>
            </w:r>
          </w:p>
        </w:tc>
        <w:tc>
          <w:tcPr>
            <w:tcW w:w="2657" w:type="dxa"/>
            <w:vAlign w:val="center"/>
          </w:tcPr>
          <w:p>
            <w:pPr>
              <w:pStyle w:val="15"/>
              <w:jc w:val="center"/>
              <w:rPr>
                <w:rFonts w:hint="default" w:hAnsi="宋体" w:eastAsia="宋体"/>
                <w:color w:val="000000" w:themeColor="text1"/>
                <w:highlight w:val="none"/>
                <w:lang w:val="en-US" w:eastAsia="zh-CN"/>
                <w14:textFill>
                  <w14:solidFill>
                    <w14:schemeClr w14:val="tx1"/>
                  </w14:solidFill>
                </w14:textFill>
              </w:rPr>
            </w:pPr>
            <w:r>
              <w:rPr>
                <w:rFonts w:hint="eastAsia" w:hAnsi="宋体"/>
                <w:color w:val="000000" w:themeColor="text1"/>
                <w:highlight w:val="none"/>
                <w:lang w:val="en-US" w:eastAsia="zh-CN"/>
                <w14:textFill>
                  <w14:solidFill>
                    <w14:schemeClr w14:val="tx1"/>
                  </w14:solidFill>
                </w14:textFill>
              </w:rPr>
              <w:t>60</w:t>
            </w:r>
          </w:p>
        </w:tc>
        <w:tc>
          <w:tcPr>
            <w:tcW w:w="0" w:type="auto"/>
            <w:vAlign w:val="center"/>
          </w:tcPr>
          <w:p>
            <w:pPr>
              <w:pStyle w:val="15"/>
              <w:jc w:val="center"/>
              <w:rPr>
                <w:rFonts w:hAnsi="宋体"/>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8" w:hRule="atLeast"/>
          <w:jc w:val="center"/>
        </w:trPr>
        <w:tc>
          <w:tcPr>
            <w:tcW w:w="2004" w:type="dxa"/>
            <w:vAlign w:val="center"/>
          </w:tcPr>
          <w:p>
            <w:pPr>
              <w:pStyle w:val="15"/>
              <w:jc w:val="center"/>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2</w:t>
            </w:r>
          </w:p>
        </w:tc>
        <w:tc>
          <w:tcPr>
            <w:tcW w:w="3024" w:type="dxa"/>
            <w:vAlign w:val="center"/>
          </w:tcPr>
          <w:p>
            <w:pPr>
              <w:pStyle w:val="15"/>
              <w:jc w:val="center"/>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价格文件得分</w:t>
            </w:r>
          </w:p>
        </w:tc>
        <w:tc>
          <w:tcPr>
            <w:tcW w:w="2657" w:type="dxa"/>
            <w:vAlign w:val="center"/>
          </w:tcPr>
          <w:p>
            <w:pPr>
              <w:pStyle w:val="15"/>
              <w:jc w:val="center"/>
              <w:rPr>
                <w:rFonts w:hint="default" w:hAnsi="宋体" w:eastAsia="宋体"/>
                <w:color w:val="000000" w:themeColor="text1"/>
                <w:highlight w:val="none"/>
                <w:lang w:val="en-US" w:eastAsia="zh-CN"/>
                <w14:textFill>
                  <w14:solidFill>
                    <w14:schemeClr w14:val="tx1"/>
                  </w14:solidFill>
                </w14:textFill>
              </w:rPr>
            </w:pPr>
            <w:r>
              <w:rPr>
                <w:rFonts w:hint="eastAsia" w:hAnsi="宋体"/>
                <w:color w:val="000000" w:themeColor="text1"/>
                <w:highlight w:val="none"/>
                <w:lang w:val="en-US" w:eastAsia="zh-CN"/>
                <w14:textFill>
                  <w14:solidFill>
                    <w14:schemeClr w14:val="tx1"/>
                  </w14:solidFill>
                </w14:textFill>
              </w:rPr>
              <w:t>40</w:t>
            </w:r>
          </w:p>
        </w:tc>
        <w:tc>
          <w:tcPr>
            <w:tcW w:w="0" w:type="auto"/>
            <w:vAlign w:val="center"/>
          </w:tcPr>
          <w:p>
            <w:pPr>
              <w:pStyle w:val="15"/>
              <w:ind w:left="0" w:firstLine="0"/>
              <w:jc w:val="center"/>
              <w:rPr>
                <w:rFonts w:hAnsi="宋体"/>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6" w:hRule="atLeast"/>
          <w:jc w:val="center"/>
        </w:trPr>
        <w:tc>
          <w:tcPr>
            <w:tcW w:w="7685" w:type="dxa"/>
            <w:gridSpan w:val="3"/>
            <w:vAlign w:val="center"/>
          </w:tcPr>
          <w:p>
            <w:pPr>
              <w:pStyle w:val="15"/>
              <w:jc w:val="center"/>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最终得分（合计）</w:t>
            </w:r>
          </w:p>
        </w:tc>
        <w:tc>
          <w:tcPr>
            <w:tcW w:w="0" w:type="auto"/>
            <w:vAlign w:val="center"/>
          </w:tcPr>
          <w:p>
            <w:pPr>
              <w:pStyle w:val="15"/>
              <w:jc w:val="center"/>
              <w:rPr>
                <w:rFonts w:hAnsi="宋体"/>
                <w:color w:val="000000" w:themeColor="text1"/>
                <w:highlight w:val="none"/>
                <w14:textFill>
                  <w14:solidFill>
                    <w14:schemeClr w14:val="tx1"/>
                  </w14:solidFill>
                </w14:textFill>
              </w:rPr>
            </w:pPr>
          </w:p>
        </w:tc>
      </w:tr>
    </w:tbl>
    <w:p>
      <w:pPr>
        <w:pStyle w:val="15"/>
        <w:rPr>
          <w:rFonts w:hAnsi="宋体"/>
          <w:color w:val="000000" w:themeColor="text1"/>
          <w:highlight w:val="none"/>
          <w14:textFill>
            <w14:solidFill>
              <w14:schemeClr w14:val="tx1"/>
            </w14:solidFill>
          </w14:textFill>
        </w:rPr>
      </w:pPr>
    </w:p>
    <w:p>
      <w:pPr>
        <w:spacing w:before="159"/>
        <w:ind w:right="-57" w:firstLine="0"/>
        <w:jc w:val="center"/>
        <w:rPr>
          <w:rFonts w:ascii="宋体" w:hAnsi="宋体"/>
          <w:b/>
          <w:color w:val="000000" w:themeColor="text1"/>
          <w:sz w:val="28"/>
          <w:szCs w:val="28"/>
          <w:highlight w:val="none"/>
          <w14:textFill>
            <w14:solidFill>
              <w14:schemeClr w14:val="tx1"/>
            </w14:solidFill>
          </w14:textFill>
        </w:rPr>
      </w:pPr>
    </w:p>
    <w:p>
      <w:pPr>
        <w:pStyle w:val="32"/>
        <w:ind w:firstLine="562"/>
        <w:rPr>
          <w:rFonts w:ascii="宋体" w:hAnsi="宋体"/>
          <w:b/>
          <w:color w:val="000000" w:themeColor="text1"/>
          <w:sz w:val="28"/>
          <w:szCs w:val="28"/>
          <w:highlight w:val="none"/>
          <w14:textFill>
            <w14:solidFill>
              <w14:schemeClr w14:val="tx1"/>
            </w14:solidFill>
          </w14:textFill>
        </w:rPr>
        <w:sectPr>
          <w:headerReference r:id="rId19" w:type="default"/>
          <w:pgSz w:w="11905" w:h="16838"/>
          <w:pgMar w:top="1417" w:right="1417" w:bottom="1417" w:left="1417" w:header="454" w:footer="567" w:gutter="0"/>
          <w:cols w:space="720" w:num="1"/>
          <w:docGrid w:linePitch="319" w:charSpace="0"/>
        </w:sectPr>
      </w:pPr>
    </w:p>
    <w:p>
      <w:pPr>
        <w:pStyle w:val="33"/>
      </w:pPr>
    </w:p>
    <w:p>
      <w:pPr>
        <w:pStyle w:val="32"/>
        <w:ind w:firstLine="562"/>
        <w:rPr>
          <w:rFonts w:ascii="宋体" w:hAnsi="宋体"/>
          <w:b/>
          <w:color w:val="000000" w:themeColor="text1"/>
          <w:sz w:val="28"/>
          <w:szCs w:val="28"/>
          <w:highlight w:val="none"/>
          <w14:textFill>
            <w14:solidFill>
              <w14:schemeClr w14:val="tx1"/>
            </w14:solidFill>
          </w14:textFill>
        </w:rPr>
      </w:pPr>
    </w:p>
    <w:p>
      <w:pPr>
        <w:spacing w:before="159"/>
        <w:ind w:right="-57" w:firstLine="0"/>
        <w:jc w:val="center"/>
        <w:rPr>
          <w:rFonts w:ascii="宋体" w:hAnsi="宋体"/>
          <w:b/>
          <w:color w:val="000000" w:themeColor="text1"/>
          <w:sz w:val="28"/>
          <w:szCs w:val="28"/>
          <w:highlight w:val="none"/>
          <w14:textFill>
            <w14:solidFill>
              <w14:schemeClr w14:val="tx1"/>
            </w14:solidFill>
          </w14:textFill>
        </w:rPr>
      </w:pPr>
      <w:r>
        <w:rPr>
          <w:rFonts w:hint="eastAsia" w:ascii="宋体" w:hAnsi="宋体"/>
          <w:b/>
          <w:color w:val="000000" w:themeColor="text1"/>
          <w:sz w:val="28"/>
          <w:szCs w:val="28"/>
          <w:highlight w:val="none"/>
          <w14:textFill>
            <w14:solidFill>
              <w14:schemeClr w14:val="tx1"/>
            </w14:solidFill>
          </w14:textFill>
        </w:rPr>
        <w:t>附表：比选申请报价修正表</w:t>
      </w:r>
    </w:p>
    <w:tbl>
      <w:tblPr>
        <w:tblStyle w:val="35"/>
        <w:tblW w:w="1388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145"/>
        <w:gridCol w:w="3474"/>
        <w:gridCol w:w="3872"/>
        <w:gridCol w:w="438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145" w:type="dxa"/>
            <w:tcBorders>
              <w:left w:val="single" w:color="auto" w:sz="4" w:space="0"/>
              <w:bottom w:val="single" w:color="auto" w:sz="4" w:space="0"/>
              <w:right w:val="single" w:color="auto" w:sz="4" w:space="0"/>
            </w:tcBorders>
            <w:vAlign w:val="center"/>
          </w:tcPr>
          <w:p>
            <w:pPr>
              <w:spacing w:before="0" w:line="240" w:lineRule="auto"/>
              <w:ind w:right="0" w:firstLine="0"/>
              <w:jc w:val="center"/>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编号</w:t>
            </w:r>
          </w:p>
        </w:tc>
        <w:tc>
          <w:tcPr>
            <w:tcW w:w="3474" w:type="dxa"/>
            <w:tcBorders>
              <w:left w:val="single" w:color="auto" w:sz="4" w:space="0"/>
              <w:bottom w:val="single" w:color="auto" w:sz="4" w:space="0"/>
              <w:right w:val="single" w:color="auto" w:sz="4" w:space="0"/>
            </w:tcBorders>
            <w:vAlign w:val="center"/>
          </w:tcPr>
          <w:p>
            <w:pPr>
              <w:spacing w:before="0" w:line="240" w:lineRule="auto"/>
              <w:ind w:right="0" w:firstLine="0"/>
              <w:jc w:val="center"/>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修正项目</w:t>
            </w:r>
          </w:p>
        </w:tc>
        <w:tc>
          <w:tcPr>
            <w:tcW w:w="3872" w:type="dxa"/>
            <w:tcBorders>
              <w:left w:val="single" w:color="auto" w:sz="4" w:space="0"/>
              <w:bottom w:val="single" w:color="auto" w:sz="4" w:space="0"/>
              <w:right w:val="single" w:color="auto" w:sz="4" w:space="0"/>
            </w:tcBorders>
            <w:vAlign w:val="center"/>
          </w:tcPr>
          <w:p>
            <w:pPr>
              <w:spacing w:before="0" w:line="240" w:lineRule="auto"/>
              <w:ind w:right="0" w:firstLine="0"/>
              <w:jc w:val="center"/>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修正前比选申请报价</w:t>
            </w:r>
          </w:p>
        </w:tc>
        <w:tc>
          <w:tcPr>
            <w:tcW w:w="4389" w:type="dxa"/>
            <w:tcBorders>
              <w:top w:val="single" w:color="auto" w:sz="4" w:space="0"/>
              <w:left w:val="single" w:color="auto" w:sz="4" w:space="0"/>
              <w:bottom w:val="single" w:color="auto" w:sz="4" w:space="0"/>
              <w:right w:val="single" w:color="auto" w:sz="4" w:space="0"/>
            </w:tcBorders>
            <w:vAlign w:val="center"/>
          </w:tcPr>
          <w:p>
            <w:pPr>
              <w:spacing w:before="0" w:line="240" w:lineRule="auto"/>
              <w:ind w:right="0" w:firstLine="0"/>
              <w:jc w:val="center"/>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修正后比选申请报价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145" w:type="dxa"/>
            <w:tcBorders>
              <w:left w:val="single" w:color="auto" w:sz="4" w:space="0"/>
              <w:right w:val="single" w:color="auto" w:sz="4" w:space="0"/>
            </w:tcBorders>
            <w:vAlign w:val="center"/>
          </w:tcPr>
          <w:p>
            <w:pPr>
              <w:spacing w:before="0" w:line="240" w:lineRule="auto"/>
              <w:ind w:right="0" w:firstLine="0"/>
              <w:jc w:val="center"/>
              <w:rPr>
                <w:rFonts w:ascii="宋体" w:hAnsi="宋体"/>
                <w:color w:val="000000" w:themeColor="text1"/>
                <w:highlight w:val="none"/>
                <w14:textFill>
                  <w14:solidFill>
                    <w14:schemeClr w14:val="tx1"/>
                  </w14:solidFill>
                </w14:textFill>
              </w:rPr>
            </w:pPr>
          </w:p>
        </w:tc>
        <w:tc>
          <w:tcPr>
            <w:tcW w:w="3474" w:type="dxa"/>
            <w:tcBorders>
              <w:left w:val="single" w:color="auto" w:sz="4" w:space="0"/>
              <w:right w:val="single" w:color="auto" w:sz="4" w:space="0"/>
            </w:tcBorders>
            <w:vAlign w:val="center"/>
          </w:tcPr>
          <w:p>
            <w:pPr>
              <w:spacing w:before="0" w:line="240" w:lineRule="auto"/>
              <w:ind w:right="0" w:firstLine="0"/>
              <w:jc w:val="left"/>
              <w:rPr>
                <w:rFonts w:ascii="宋体" w:hAnsi="宋体" w:cs="宋体"/>
                <w:color w:val="000000" w:themeColor="text1"/>
                <w:highlight w:val="none"/>
                <w14:textFill>
                  <w14:solidFill>
                    <w14:schemeClr w14:val="tx1"/>
                  </w14:solidFill>
                </w14:textFill>
              </w:rPr>
            </w:pPr>
          </w:p>
        </w:tc>
        <w:tc>
          <w:tcPr>
            <w:tcW w:w="3872" w:type="dxa"/>
            <w:tcBorders>
              <w:left w:val="single" w:color="auto" w:sz="4" w:space="0"/>
              <w:right w:val="single" w:color="auto" w:sz="4" w:space="0"/>
            </w:tcBorders>
            <w:vAlign w:val="center"/>
          </w:tcPr>
          <w:p>
            <w:pPr>
              <w:spacing w:before="0" w:line="240" w:lineRule="auto"/>
              <w:ind w:right="0" w:firstLine="0"/>
              <w:jc w:val="center"/>
              <w:rPr>
                <w:rFonts w:ascii="宋体" w:hAnsi="宋体" w:cs="宋体"/>
                <w:color w:val="000000" w:themeColor="text1"/>
                <w:highlight w:val="none"/>
                <w14:textFill>
                  <w14:solidFill>
                    <w14:schemeClr w14:val="tx1"/>
                  </w14:solidFill>
                </w14:textFill>
              </w:rPr>
            </w:pPr>
          </w:p>
        </w:tc>
        <w:tc>
          <w:tcPr>
            <w:tcW w:w="4389" w:type="dxa"/>
            <w:tcBorders>
              <w:top w:val="single" w:color="auto" w:sz="4" w:space="0"/>
              <w:left w:val="single" w:color="auto" w:sz="4" w:space="0"/>
              <w:bottom w:val="single" w:color="auto" w:sz="4" w:space="0"/>
              <w:right w:val="single" w:color="auto" w:sz="4" w:space="0"/>
            </w:tcBorders>
            <w:vAlign w:val="center"/>
          </w:tcPr>
          <w:p>
            <w:pPr>
              <w:spacing w:before="0" w:line="240" w:lineRule="auto"/>
              <w:ind w:right="0" w:firstLine="0"/>
              <w:rPr>
                <w:rFonts w:ascii="宋体" w:hAnsi="宋体"/>
                <w:color w:val="000000" w:themeColor="text1"/>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145" w:type="dxa"/>
            <w:tcBorders>
              <w:left w:val="single" w:color="auto" w:sz="4" w:space="0"/>
              <w:right w:val="single" w:color="auto" w:sz="4" w:space="0"/>
            </w:tcBorders>
            <w:vAlign w:val="center"/>
          </w:tcPr>
          <w:p>
            <w:pPr>
              <w:spacing w:before="0" w:line="240" w:lineRule="auto"/>
              <w:ind w:right="0" w:firstLine="0"/>
              <w:jc w:val="center"/>
              <w:rPr>
                <w:rFonts w:ascii="宋体" w:hAnsi="宋体"/>
                <w:color w:val="000000" w:themeColor="text1"/>
                <w:highlight w:val="none"/>
                <w14:textFill>
                  <w14:solidFill>
                    <w14:schemeClr w14:val="tx1"/>
                  </w14:solidFill>
                </w14:textFill>
              </w:rPr>
            </w:pPr>
          </w:p>
        </w:tc>
        <w:tc>
          <w:tcPr>
            <w:tcW w:w="3474" w:type="dxa"/>
            <w:tcBorders>
              <w:left w:val="single" w:color="auto" w:sz="4" w:space="0"/>
              <w:right w:val="single" w:color="auto" w:sz="4" w:space="0"/>
            </w:tcBorders>
            <w:vAlign w:val="center"/>
          </w:tcPr>
          <w:p>
            <w:pPr>
              <w:spacing w:before="0" w:line="240" w:lineRule="auto"/>
              <w:ind w:right="0" w:firstLine="0"/>
              <w:jc w:val="center"/>
              <w:rPr>
                <w:rFonts w:ascii="宋体" w:hAnsi="宋体"/>
                <w:color w:val="000000" w:themeColor="text1"/>
                <w:highlight w:val="none"/>
                <w14:textFill>
                  <w14:solidFill>
                    <w14:schemeClr w14:val="tx1"/>
                  </w14:solidFill>
                </w14:textFill>
              </w:rPr>
            </w:pPr>
          </w:p>
        </w:tc>
        <w:tc>
          <w:tcPr>
            <w:tcW w:w="3872" w:type="dxa"/>
            <w:tcBorders>
              <w:left w:val="single" w:color="auto" w:sz="4" w:space="0"/>
              <w:right w:val="single" w:color="auto" w:sz="4" w:space="0"/>
            </w:tcBorders>
            <w:vAlign w:val="center"/>
          </w:tcPr>
          <w:p>
            <w:pPr>
              <w:spacing w:before="0" w:line="240" w:lineRule="auto"/>
              <w:ind w:right="0" w:firstLine="0"/>
              <w:jc w:val="left"/>
              <w:rPr>
                <w:rFonts w:ascii="宋体" w:hAnsi="宋体"/>
                <w:b/>
                <w:color w:val="000000" w:themeColor="text1"/>
                <w:sz w:val="24"/>
                <w:szCs w:val="24"/>
                <w:highlight w:val="none"/>
                <w14:textFill>
                  <w14:solidFill>
                    <w14:schemeClr w14:val="tx1"/>
                  </w14:solidFill>
                </w14:textFill>
              </w:rPr>
            </w:pPr>
          </w:p>
        </w:tc>
        <w:tc>
          <w:tcPr>
            <w:tcW w:w="4389" w:type="dxa"/>
            <w:tcBorders>
              <w:top w:val="single" w:color="auto" w:sz="4" w:space="0"/>
              <w:left w:val="single" w:color="auto" w:sz="4" w:space="0"/>
              <w:bottom w:val="single" w:color="auto" w:sz="4" w:space="0"/>
              <w:right w:val="single" w:color="auto" w:sz="4" w:space="0"/>
            </w:tcBorders>
            <w:vAlign w:val="center"/>
          </w:tcPr>
          <w:p>
            <w:pPr>
              <w:spacing w:before="0" w:line="240" w:lineRule="auto"/>
              <w:ind w:right="0" w:firstLine="0"/>
              <w:jc w:val="left"/>
              <w:rPr>
                <w:rFonts w:ascii="宋体" w:hAnsi="宋体" w:cs="宋体"/>
                <w:b/>
                <w:color w:val="000000" w:themeColor="text1"/>
                <w:sz w:val="24"/>
                <w:szCs w:val="24"/>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145" w:type="dxa"/>
            <w:tcBorders>
              <w:left w:val="single" w:color="auto" w:sz="4" w:space="0"/>
              <w:right w:val="single" w:color="auto" w:sz="4" w:space="0"/>
            </w:tcBorders>
            <w:vAlign w:val="center"/>
          </w:tcPr>
          <w:p>
            <w:pPr>
              <w:spacing w:before="0" w:line="240" w:lineRule="auto"/>
              <w:ind w:right="0"/>
              <w:jc w:val="left"/>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修正前比选申请报价总价：</w:t>
            </w:r>
          </w:p>
        </w:tc>
        <w:tc>
          <w:tcPr>
            <w:tcW w:w="11735" w:type="dxa"/>
            <w:gridSpan w:val="3"/>
            <w:tcBorders>
              <w:left w:val="single" w:color="auto" w:sz="4" w:space="0"/>
              <w:right w:val="single" w:color="auto" w:sz="4" w:space="0"/>
            </w:tcBorders>
            <w:vAlign w:val="center"/>
          </w:tcPr>
          <w:p>
            <w:pPr>
              <w:spacing w:before="0" w:line="240" w:lineRule="auto"/>
              <w:ind w:right="0" w:firstLine="0"/>
              <w:rPr>
                <w:rFonts w:ascii="宋体" w:hAnsi="宋体" w:cs="宋体"/>
                <w:b/>
                <w:color w:val="000000" w:themeColor="text1"/>
                <w:sz w:val="24"/>
                <w:szCs w:val="24"/>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145" w:type="dxa"/>
            <w:tcBorders>
              <w:left w:val="single" w:color="auto" w:sz="4" w:space="0"/>
              <w:right w:val="single" w:color="auto" w:sz="4" w:space="0"/>
            </w:tcBorders>
            <w:vAlign w:val="center"/>
          </w:tcPr>
          <w:p>
            <w:pPr>
              <w:spacing w:before="0" w:line="240" w:lineRule="auto"/>
              <w:ind w:right="0"/>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修正后比选申请报价总价：</w:t>
            </w:r>
          </w:p>
        </w:tc>
        <w:tc>
          <w:tcPr>
            <w:tcW w:w="11735" w:type="dxa"/>
            <w:gridSpan w:val="3"/>
            <w:tcBorders>
              <w:left w:val="single" w:color="auto" w:sz="4" w:space="0"/>
              <w:right w:val="single" w:color="auto" w:sz="4" w:space="0"/>
            </w:tcBorders>
            <w:vAlign w:val="center"/>
          </w:tcPr>
          <w:p>
            <w:pPr>
              <w:spacing w:before="0" w:line="240" w:lineRule="auto"/>
              <w:ind w:right="0" w:firstLine="0"/>
              <w:rPr>
                <w:rFonts w:ascii="宋体" w:hAnsi="宋体" w:cs="宋体"/>
                <w:b/>
                <w:color w:val="000000" w:themeColor="text1"/>
                <w:sz w:val="24"/>
                <w:szCs w:val="24"/>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145" w:type="dxa"/>
            <w:tcBorders>
              <w:left w:val="single" w:color="auto" w:sz="4" w:space="0"/>
              <w:right w:val="single" w:color="auto" w:sz="4" w:space="0"/>
            </w:tcBorders>
            <w:vAlign w:val="center"/>
          </w:tcPr>
          <w:p>
            <w:pPr>
              <w:spacing w:before="0" w:line="240" w:lineRule="auto"/>
              <w:ind w:right="0"/>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比选申请人名称</w:t>
            </w:r>
          </w:p>
        </w:tc>
        <w:tc>
          <w:tcPr>
            <w:tcW w:w="11735" w:type="dxa"/>
            <w:gridSpan w:val="3"/>
            <w:tcBorders>
              <w:left w:val="single" w:color="auto" w:sz="4" w:space="0"/>
              <w:right w:val="single" w:color="auto" w:sz="4" w:space="0"/>
            </w:tcBorders>
            <w:vAlign w:val="center"/>
          </w:tcPr>
          <w:p>
            <w:pPr>
              <w:spacing w:before="0" w:line="240" w:lineRule="auto"/>
              <w:ind w:right="0" w:firstLine="0"/>
              <w:rPr>
                <w:rFonts w:ascii="宋体" w:hAnsi="宋体" w:cs="宋体"/>
                <w:b/>
                <w:color w:val="000000" w:themeColor="text1"/>
                <w:sz w:val="24"/>
                <w:szCs w:val="24"/>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145" w:type="dxa"/>
            <w:tcBorders>
              <w:left w:val="single" w:color="auto" w:sz="4" w:space="0"/>
              <w:right w:val="single" w:color="auto" w:sz="4" w:space="0"/>
            </w:tcBorders>
            <w:vAlign w:val="center"/>
          </w:tcPr>
          <w:p>
            <w:pPr>
              <w:spacing w:before="0" w:line="240" w:lineRule="auto"/>
              <w:ind w:right="0"/>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比选申请人声明</w:t>
            </w:r>
          </w:p>
        </w:tc>
        <w:tc>
          <w:tcPr>
            <w:tcW w:w="11735" w:type="dxa"/>
            <w:gridSpan w:val="3"/>
            <w:tcBorders>
              <w:left w:val="single" w:color="auto" w:sz="4" w:space="0"/>
              <w:right w:val="single" w:color="auto" w:sz="4" w:space="0"/>
            </w:tcBorders>
            <w:vAlign w:val="center"/>
          </w:tcPr>
          <w:p>
            <w:pPr>
              <w:spacing w:before="0" w:line="240" w:lineRule="auto"/>
              <w:ind w:right="0" w:firstLine="0"/>
              <w:rPr>
                <w:rFonts w:ascii="宋体" w:hAnsi="宋体"/>
                <w:b/>
                <w:color w:val="000000" w:themeColor="text1"/>
                <w:sz w:val="24"/>
                <w:szCs w:val="24"/>
                <w:highlight w:val="none"/>
                <w14:textFill>
                  <w14:solidFill>
                    <w14:schemeClr w14:val="tx1"/>
                  </w14:solidFill>
                </w14:textFill>
              </w:rPr>
            </w:pPr>
            <w:r>
              <w:rPr>
                <w:rFonts w:hint="eastAsia" w:ascii="宋体" w:hAnsi="宋体" w:cs="宋体"/>
                <w:b/>
                <w:color w:val="000000" w:themeColor="text1"/>
                <w:sz w:val="24"/>
                <w:szCs w:val="24"/>
                <w:highlight w:val="none"/>
                <w14:textFill>
                  <w14:solidFill>
                    <w14:schemeClr w14:val="tx1"/>
                  </w14:solidFill>
                </w14:textFill>
              </w:rPr>
              <w:t>我单位（</w:t>
            </w:r>
            <w:r>
              <w:rPr>
                <w:rFonts w:ascii="宋体" w:hAnsi="宋体"/>
                <w:b/>
                <w:color w:val="000000" w:themeColor="text1"/>
                <w:sz w:val="44"/>
                <w:szCs w:val="44"/>
                <w:highlight w:val="none"/>
                <w14:textFill>
                  <w14:solidFill>
                    <w14:schemeClr w14:val="tx1"/>
                  </w14:solidFill>
                </w14:textFill>
              </w:rPr>
              <w:t>□</w:t>
            </w:r>
            <w:r>
              <w:rPr>
                <w:rFonts w:hint="eastAsia" w:ascii="宋体" w:hAnsi="宋体" w:cs="宋体"/>
                <w:b/>
                <w:color w:val="000000" w:themeColor="text1"/>
                <w:sz w:val="24"/>
                <w:szCs w:val="24"/>
                <w:highlight w:val="none"/>
                <w14:textFill>
                  <w14:solidFill>
                    <w14:schemeClr w14:val="tx1"/>
                  </w14:solidFill>
                </w14:textFill>
              </w:rPr>
              <w:t>接受</w:t>
            </w:r>
            <w:r>
              <w:rPr>
                <w:rFonts w:ascii="宋体" w:hAnsi="宋体"/>
                <w:b/>
                <w:color w:val="000000" w:themeColor="text1"/>
                <w:sz w:val="44"/>
                <w:szCs w:val="44"/>
                <w:highlight w:val="none"/>
                <w14:textFill>
                  <w14:solidFill>
                    <w14:schemeClr w14:val="tx1"/>
                  </w14:solidFill>
                </w14:textFill>
              </w:rPr>
              <w:t>□</w:t>
            </w:r>
            <w:r>
              <w:rPr>
                <w:rFonts w:ascii="宋体" w:hAnsi="宋体"/>
                <w:b/>
                <w:color w:val="000000" w:themeColor="text1"/>
                <w:sz w:val="24"/>
                <w:szCs w:val="24"/>
                <w:highlight w:val="none"/>
                <w14:textFill>
                  <w14:solidFill>
                    <w14:schemeClr w14:val="tx1"/>
                  </w14:solidFill>
                </w14:textFill>
              </w:rPr>
              <w:t>不接受</w:t>
            </w:r>
            <w:r>
              <w:rPr>
                <w:rFonts w:hint="eastAsia" w:ascii="宋体" w:hAnsi="宋体"/>
                <w:b/>
                <w:color w:val="000000" w:themeColor="text1"/>
                <w:sz w:val="24"/>
                <w:szCs w:val="24"/>
                <w:highlight w:val="none"/>
                <w14:textFill>
                  <w14:solidFill>
                    <w14:schemeClr w14:val="tx1"/>
                  </w14:solidFill>
                </w14:textFill>
              </w:rPr>
              <w:t>）本评审办法第3.3款价格评审确定的评审总价和中选价。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145" w:type="dxa"/>
            <w:tcBorders>
              <w:left w:val="single" w:color="auto" w:sz="4" w:space="0"/>
              <w:right w:val="single" w:color="auto" w:sz="4" w:space="0"/>
            </w:tcBorders>
            <w:vAlign w:val="center"/>
          </w:tcPr>
          <w:p>
            <w:pPr>
              <w:spacing w:before="0" w:line="240" w:lineRule="auto"/>
              <w:ind w:right="0"/>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比选申请人代表签字</w:t>
            </w:r>
          </w:p>
        </w:tc>
        <w:tc>
          <w:tcPr>
            <w:tcW w:w="11735" w:type="dxa"/>
            <w:gridSpan w:val="3"/>
            <w:tcBorders>
              <w:left w:val="single" w:color="auto" w:sz="4" w:space="0"/>
              <w:right w:val="single" w:color="auto" w:sz="4" w:space="0"/>
            </w:tcBorders>
            <w:vAlign w:val="center"/>
          </w:tcPr>
          <w:p>
            <w:pPr>
              <w:spacing w:before="0" w:line="240" w:lineRule="auto"/>
              <w:ind w:right="0" w:firstLine="0"/>
              <w:rPr>
                <w:rFonts w:ascii="宋体" w:hAnsi="宋体" w:cs="宋体"/>
                <w:b/>
                <w:color w:val="000000" w:themeColor="text1"/>
                <w:sz w:val="24"/>
                <w:szCs w:val="24"/>
                <w:highlight w:val="none"/>
                <w14:textFill>
                  <w14:solidFill>
                    <w14:schemeClr w14:val="tx1"/>
                  </w14:solidFill>
                </w14:textFill>
              </w:rPr>
            </w:pPr>
          </w:p>
          <w:p>
            <w:pPr>
              <w:spacing w:before="0" w:line="240" w:lineRule="auto"/>
              <w:ind w:right="0" w:firstLine="0"/>
              <w:rPr>
                <w:rFonts w:ascii="宋体" w:hAnsi="宋体" w:cs="宋体"/>
                <w:b/>
                <w:color w:val="000000" w:themeColor="text1"/>
                <w:sz w:val="24"/>
                <w:szCs w:val="24"/>
                <w:highlight w:val="none"/>
                <w14:textFill>
                  <w14:solidFill>
                    <w14:schemeClr w14:val="tx1"/>
                  </w14:solidFill>
                </w14:textFill>
              </w:rPr>
            </w:pPr>
            <w:r>
              <w:rPr>
                <w:rFonts w:hint="eastAsia" w:ascii="宋体" w:hAnsi="宋体" w:cs="宋体"/>
                <w:b/>
                <w:color w:val="000000" w:themeColor="text1"/>
                <w:sz w:val="24"/>
                <w:szCs w:val="24"/>
                <w:highlight w:val="none"/>
                <w14:textFill>
                  <w14:solidFill>
                    <w14:schemeClr w14:val="tx1"/>
                  </w14:solidFill>
                </w14:textFill>
              </w:rPr>
              <w:t xml:space="preserve">                                                                     日期：    年  月   日</w:t>
            </w:r>
          </w:p>
        </w:tc>
      </w:tr>
    </w:tbl>
    <w:p>
      <w:pPr>
        <w:spacing w:before="0" w:after="0"/>
        <w:ind w:left="420" w:right="0" w:firstLine="0"/>
        <w:jc w:val="left"/>
        <w:rPr>
          <w:rFonts w:ascii="宋体" w:hAnsi="宋体"/>
          <w:color w:val="000000" w:themeColor="text1"/>
          <w:highlight w:val="none"/>
          <w14:textFill>
            <w14:solidFill>
              <w14:schemeClr w14:val="tx1"/>
            </w14:solidFill>
          </w14:textFill>
        </w:rPr>
      </w:pPr>
    </w:p>
    <w:sectPr>
      <w:pgSz w:w="16838" w:h="11905" w:orient="landscape"/>
      <w:pgMar w:top="1417" w:right="1417" w:bottom="1417" w:left="1417" w:header="454" w:footer="567" w:gutter="0"/>
      <w:cols w:space="720" w:num="1"/>
      <w:docGrid w:linePitch="31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Consolas">
    <w:panose1 w:val="020B0609020204030204"/>
    <w:charset w:val="00"/>
    <w:family w:val="modern"/>
    <w:pitch w:val="default"/>
    <w:sig w:usb0="E00006FF" w:usb1="0000FCFF" w:usb2="00000001" w:usb3="00000000" w:csb0="6000019F" w:csb1="DFD7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tabs>
        <w:tab w:val="clear" w:pos="4153"/>
      </w:tabs>
      <w:jc w:val="cen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458471"/>
    </w:sdtPr>
    <w:sdtContent>
      <w:p>
        <w:pPr>
          <w:pStyle w:val="19"/>
          <w:jc w:val="center"/>
        </w:pPr>
        <w:r>
          <w:fldChar w:fldCharType="begin"/>
        </w:r>
        <w:r>
          <w:instrText xml:space="preserve">PAGE   \* MERGEFORMAT</w:instrText>
        </w:r>
        <w:r>
          <w:fldChar w:fldCharType="separate"/>
        </w:r>
        <w:r>
          <w:rPr>
            <w:lang w:val="zh-CN"/>
          </w:rPr>
          <w:t>22</w:t>
        </w:r>
        <w:r>
          <w:rPr>
            <w:lang w:val="zh-CN"/>
          </w:rPr>
          <w:fldChar w:fldCharType="end"/>
        </w:r>
      </w:p>
    </w:sdtContent>
  </w:sdt>
  <w:p>
    <w:pPr>
      <w:pStyle w:val="20"/>
      <w:pBdr>
        <w:bottom w:val="none" w:color="auto" w:sz="0" w:space="0"/>
      </w:pBdr>
      <w:tabs>
        <w:tab w:val="right" w:pos="8728"/>
        <w:tab w:val="clear" w:pos="4153"/>
        <w:tab w:val="clear" w:pos="8306"/>
      </w:tabs>
      <w:ind w:left="0" w:right="343" w:firstLine="0"/>
      <w:jc w:val="both"/>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0"/>
      <w:ind w:right="-57" w:firstLine="0"/>
      <w:jc w:val="cente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72" name="文本框 6"/>
              <wp:cNvGraphicFramePr/>
              <a:graphic xmlns:a="http://schemas.openxmlformats.org/drawingml/2006/main">
                <a:graphicData uri="http://schemas.microsoft.com/office/word/2010/wordprocessingShape">
                  <wps:wsp>
                    <wps:cNvSpPr txBox="1"/>
                    <wps:spPr>
                      <a:xfrm>
                        <a:off x="0" y="0"/>
                        <a:ext cx="1829435" cy="387350"/>
                      </a:xfrm>
                      <a:prstGeom prst="rect">
                        <a:avLst/>
                      </a:prstGeom>
                      <a:noFill/>
                      <a:ln w="6350" cap="flat">
                        <a:noFill/>
                      </a:ln>
                      <a:effectLst/>
                    </wps:spPr>
                    <wps:txbx>
                      <w:txbxContent>
                        <w:p>
                          <w:r>
                            <w:fldChar w:fldCharType="begin"/>
                          </w:r>
                          <w:r>
                            <w:instrText xml:space="preserve">PAGE  \* MERGEFORMAT</w:instrText>
                          </w:r>
                          <w:r>
                            <w:fldChar w:fldCharType="separate"/>
                          </w:r>
                          <w:r>
                            <w:t>101</w:t>
                          </w:r>
                          <w:r>
                            <w:fldChar w:fldCharType="end"/>
                          </w:r>
                        </w:p>
                      </w:txbxContent>
                    </wps:txbx>
                    <wps:bodyPr rot="0" spcFirstLastPara="0" vertOverflow="overflow" horzOverflow="overflow" vert="horz" wrap="none" lIns="0" tIns="0" rIns="0" bIns="0" numCol="1" spcCol="0" rtlCol="0" fromWordArt="0" anchor="t" anchorCtr="0" forceAA="0" compatLnSpc="0">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LNJWO7QAAAABQEAAA8AAAAAAAAAAQAgAAAAIgAAAGRycy9kb3ducmV2&#10;LnhtbFBLAQIUABQAAAAIAIdO4kA/vF3EPQIAAG8EAAAOAAAAAAAAAAEAIAAAAB8BAABkcnMvZTJv&#10;RG9jLnhtbFBLBQYAAAAABgAGAFkBAADOBQAAAAA=&#10;">
              <v:fill on="f" focussize="0,0"/>
              <v:stroke on="f" weight="0.5pt"/>
              <v:imagedata o:title=""/>
              <o:lock v:ext="edit" aspectratio="f"/>
              <v:textbox inset="0mm,0mm,0mm,0mm" style="mso-fit-shape-to-text:t;">
                <w:txbxContent>
                  <w:p>
                    <w:r>
                      <w:fldChar w:fldCharType="begin"/>
                    </w:r>
                    <w:r>
                      <w:instrText xml:space="preserve">PAGE  \* MERGEFORMAT</w:instrText>
                    </w:r>
                    <w:r>
                      <w:fldChar w:fldCharType="separate"/>
                    </w:r>
                    <w:r>
                      <w:t>101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center"/>
    </w:pPr>
    <w:r>
      <w:fldChar w:fldCharType="begin"/>
    </w:r>
    <w:r>
      <w:instrText xml:space="preserve">PAGE   \* MERGEFORMAT</w:instrText>
    </w:r>
    <w:r>
      <w:fldChar w:fldCharType="separate"/>
    </w:r>
    <w:r>
      <w:rPr>
        <w:lang w:val="zh-CN"/>
      </w:rPr>
      <w:t>2</w:t>
    </w:r>
    <w:r>
      <w:rPr>
        <w:lang w:val="zh-CN"/>
      </w:rPr>
      <w:fldChar w:fldCharType="end"/>
    </w:r>
  </w:p>
  <w:p>
    <w:pPr>
      <w:pStyle w:val="20"/>
      <w:pBdr>
        <w:bottom w:val="none" w:color="auto" w:sz="0" w:space="0"/>
      </w:pBdr>
      <w:tabs>
        <w:tab w:val="right" w:pos="8728"/>
        <w:tab w:val="clear" w:pos="4153"/>
        <w:tab w:val="clear" w:pos="8306"/>
      </w:tabs>
      <w:ind w:left="0" w:right="343" w:firstLine="0"/>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225"/>
      <w:rPr>
        <w:rFonts w:ascii="Calibri" w:hAnsi="Calibri" w:eastAsia="Calibri" w:cs="Calibri"/>
        <w:sz w:val="18"/>
        <w:szCs w:val="18"/>
      </w:rPr>
    </w:pPr>
    <w:r>
      <w:rPr>
        <w:rFonts w:ascii="Calibri" w:hAnsi="Calibri" w:eastAsia="Calibri" w:cs="Calibri"/>
        <w:spacing w:val="-4"/>
        <w:sz w:val="18"/>
        <w:szCs w:val="18"/>
      </w:rPr>
      <w:t>100</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225"/>
      <w:rPr>
        <w:rFonts w:ascii="Calibri" w:hAnsi="Calibri" w:eastAsia="Calibri" w:cs="Calibri"/>
        <w:sz w:val="18"/>
        <w:szCs w:val="18"/>
      </w:rPr>
    </w:pPr>
    <w:r>
      <w:rPr>
        <w:rFonts w:ascii="Calibri" w:hAnsi="Calibri" w:eastAsia="Calibri" w:cs="Calibri"/>
        <w:spacing w:val="-4"/>
        <w:sz w:val="18"/>
        <w:szCs w:val="18"/>
      </w:rPr>
      <w:t>101</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225"/>
      <w:rPr>
        <w:rFonts w:ascii="Calibri" w:hAnsi="Calibri" w:eastAsia="Calibri" w:cs="Calibri"/>
        <w:sz w:val="18"/>
        <w:szCs w:val="18"/>
      </w:rPr>
    </w:pPr>
    <w:r>
      <w:rPr>
        <w:rFonts w:ascii="Calibri" w:hAnsi="Calibri" w:eastAsia="Calibri" w:cs="Calibri"/>
        <w:spacing w:val="-6"/>
        <w:sz w:val="18"/>
        <w:szCs w:val="18"/>
      </w:rPr>
      <w:t>102</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225"/>
      <w:rPr>
        <w:rFonts w:ascii="Calibri" w:hAnsi="Calibri" w:eastAsia="Calibri" w:cs="Calibri"/>
        <w:sz w:val="18"/>
        <w:szCs w:val="18"/>
      </w:rPr>
    </w:pPr>
    <w:r>
      <w:rPr>
        <w:rFonts w:ascii="Calibri" w:hAnsi="Calibri" w:eastAsia="Calibri" w:cs="Calibri"/>
        <w:spacing w:val="-4"/>
        <w:sz w:val="18"/>
        <w:szCs w:val="18"/>
      </w:rPr>
      <w:t>105</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225"/>
      <w:rPr>
        <w:rFonts w:ascii="Calibri" w:hAnsi="Calibri" w:eastAsia="Calibri" w:cs="Calibri"/>
        <w:sz w:val="18"/>
        <w:szCs w:val="18"/>
      </w:rPr>
    </w:pPr>
    <w:r>
      <w:rPr>
        <w:rFonts w:ascii="Calibri" w:hAnsi="Calibri" w:eastAsia="Calibri" w:cs="Calibri"/>
        <w:spacing w:val="-4"/>
        <w:sz w:val="18"/>
        <w:szCs w:val="18"/>
      </w:rPr>
      <w:t>110</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6" w:lineRule="auto"/>
      <w:ind w:left="4441"/>
      <w:rPr>
        <w:rFonts w:ascii="Calibri" w:hAnsi="Calibri" w:eastAsia="Calibri" w:cs="Calibri"/>
        <w:sz w:val="18"/>
        <w:szCs w:val="18"/>
      </w:rPr>
    </w:pPr>
    <w:r>
      <w:rPr>
        <w:rFonts w:ascii="Calibri" w:hAnsi="Calibri" w:eastAsia="Calibri" w:cs="Calibri"/>
        <w:spacing w:val="-4"/>
        <w:sz w:val="18"/>
        <w:szCs w:val="18"/>
      </w:rPr>
      <w:t>111</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441"/>
      <w:rPr>
        <w:rFonts w:ascii="Calibri" w:hAnsi="Calibri" w:eastAsia="Calibri" w:cs="Calibri"/>
        <w:sz w:val="18"/>
        <w:szCs w:val="18"/>
      </w:rPr>
    </w:pPr>
    <w:r>
      <w:rPr>
        <w:rFonts w:ascii="Calibri" w:hAnsi="Calibri" w:eastAsia="Calibri" w:cs="Calibri"/>
        <w:spacing w:val="-4"/>
        <w:sz w:val="18"/>
        <w:szCs w:val="18"/>
      </w:rPr>
      <w:t>112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tabs>
        <w:tab w:val="left" w:pos="2847"/>
        <w:tab w:val="left" w:pos="3510"/>
        <w:tab w:val="left" w:pos="4002"/>
        <w:tab w:val="clear" w:pos="4153"/>
        <w:tab w:val="clear" w:pos="8306"/>
      </w:tabs>
      <w:jc w:val="both"/>
    </w:pPr>
    <w:r>
      <w:tab/>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spacing w:before="0"/>
      <w:ind w:right="-57" w:firstLine="0"/>
      <w:jc w:val="both"/>
      <w:rPr>
        <w:rFonts w:ascii="宋体" w:hAnsi="宋体"/>
        <w:color w:val="000000"/>
        <w:sz w:val="15"/>
        <w:szCs w:val="15"/>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spacing w:before="0"/>
      <w:ind w:right="-57" w:firstLine="0"/>
      <w:jc w:val="both"/>
      <w:rPr>
        <w:rFonts w:ascii="宋体" w:hAnsi="宋体"/>
        <w:color w:val="000000"/>
        <w:sz w:val="15"/>
        <w:szCs w:val="15"/>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ind w:right="-57"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D15546"/>
    <w:multiLevelType w:val="singleLevel"/>
    <w:tmpl w:val="8DD15546"/>
    <w:lvl w:ilvl="0" w:tentative="0">
      <w:start w:val="1"/>
      <w:numFmt w:val="decimal"/>
      <w:suff w:val="nothing"/>
      <w:lvlText w:val="（%1）"/>
      <w:lvlJc w:val="left"/>
    </w:lvl>
  </w:abstractNum>
  <w:abstractNum w:abstractNumId="1">
    <w:nsid w:val="04684264"/>
    <w:multiLevelType w:val="multilevel"/>
    <w:tmpl w:val="04684264"/>
    <w:lvl w:ilvl="0" w:tentative="0">
      <w:start w:val="2"/>
      <w:numFmt w:val="japaneseCounting"/>
      <w:lvlText w:val="第%1条"/>
      <w:lvlJc w:val="left"/>
      <w:pPr>
        <w:tabs>
          <w:tab w:val="left" w:pos="1935"/>
        </w:tabs>
        <w:ind w:left="1935" w:hanging="1290"/>
      </w:pPr>
      <w:rPr>
        <w:rFonts w:hint="eastAsia"/>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abstractNum w:abstractNumId="2">
    <w:nsid w:val="20E229C9"/>
    <w:multiLevelType w:val="singleLevel"/>
    <w:tmpl w:val="20E229C9"/>
    <w:lvl w:ilvl="0" w:tentative="0">
      <w:start w:val="1"/>
      <w:numFmt w:val="decimal"/>
      <w:suff w:val="nothing"/>
      <w:lvlText w:val="%1、"/>
      <w:lvlJc w:val="left"/>
    </w:lvl>
  </w:abstractNum>
  <w:abstractNum w:abstractNumId="3">
    <w:nsid w:val="2F000001"/>
    <w:multiLevelType w:val="multilevel"/>
    <w:tmpl w:val="2F000001"/>
    <w:lvl w:ilvl="0" w:tentative="0">
      <w:start w:val="18"/>
      <w:numFmt w:val="decimal"/>
      <w:suff w:val="space"/>
      <w:lvlText w:val="%1."/>
      <w:lvlJc w:val="left"/>
    </w:lvl>
    <w:lvl w:ilvl="1" w:tentative="0">
      <w:start w:val="18"/>
      <w:numFmt w:val="decimal"/>
      <w:suff w:val="space"/>
      <w:lvlText w:val="%1."/>
      <w:lvlJc w:val="left"/>
    </w:lvl>
    <w:lvl w:ilvl="2" w:tentative="0">
      <w:start w:val="18"/>
      <w:numFmt w:val="decimal"/>
      <w:suff w:val="space"/>
      <w:lvlText w:val="%1."/>
      <w:lvlJc w:val="left"/>
    </w:lvl>
    <w:lvl w:ilvl="3" w:tentative="0">
      <w:start w:val="18"/>
      <w:numFmt w:val="decimal"/>
      <w:suff w:val="space"/>
      <w:lvlText w:val="%1."/>
      <w:lvlJc w:val="left"/>
    </w:lvl>
    <w:lvl w:ilvl="4" w:tentative="0">
      <w:start w:val="18"/>
      <w:numFmt w:val="decimal"/>
      <w:suff w:val="space"/>
      <w:lvlText w:val="%1."/>
      <w:lvlJc w:val="left"/>
    </w:lvl>
    <w:lvl w:ilvl="5" w:tentative="0">
      <w:start w:val="18"/>
      <w:numFmt w:val="decimal"/>
      <w:suff w:val="space"/>
      <w:lvlText w:val="%1."/>
      <w:lvlJc w:val="left"/>
    </w:lvl>
    <w:lvl w:ilvl="6" w:tentative="0">
      <w:start w:val="18"/>
      <w:numFmt w:val="decimal"/>
      <w:suff w:val="space"/>
      <w:lvlText w:val="%1."/>
      <w:lvlJc w:val="left"/>
    </w:lvl>
    <w:lvl w:ilvl="7" w:tentative="0">
      <w:start w:val="18"/>
      <w:numFmt w:val="decimal"/>
      <w:suff w:val="space"/>
      <w:lvlText w:val="%1."/>
      <w:lvlJc w:val="left"/>
    </w:lvl>
    <w:lvl w:ilvl="8" w:tentative="0">
      <w:start w:val="18"/>
      <w:numFmt w:val="decimal"/>
      <w:suff w:val="space"/>
      <w:lvlText w:val="%1."/>
      <w:lvlJc w:val="left"/>
    </w:lvl>
  </w:abstractNum>
  <w:abstractNum w:abstractNumId="4">
    <w:nsid w:val="2F000002"/>
    <w:multiLevelType w:val="multilevel"/>
    <w:tmpl w:val="2F000002"/>
    <w:lvl w:ilvl="0" w:tentative="0">
      <w:start w:val="13"/>
      <w:numFmt w:val="decimal"/>
      <w:suff w:val="space"/>
      <w:lvlText w:val="%1."/>
      <w:lvlJc w:val="left"/>
    </w:lvl>
    <w:lvl w:ilvl="1" w:tentative="0">
      <w:start w:val="13"/>
      <w:numFmt w:val="decimal"/>
      <w:suff w:val="space"/>
      <w:lvlText w:val="%1."/>
      <w:lvlJc w:val="left"/>
    </w:lvl>
    <w:lvl w:ilvl="2" w:tentative="0">
      <w:start w:val="13"/>
      <w:numFmt w:val="decimal"/>
      <w:suff w:val="space"/>
      <w:lvlText w:val="%1."/>
      <w:lvlJc w:val="left"/>
    </w:lvl>
    <w:lvl w:ilvl="3" w:tentative="0">
      <w:start w:val="13"/>
      <w:numFmt w:val="decimal"/>
      <w:suff w:val="space"/>
      <w:lvlText w:val="%1."/>
      <w:lvlJc w:val="left"/>
    </w:lvl>
    <w:lvl w:ilvl="4" w:tentative="0">
      <w:start w:val="13"/>
      <w:numFmt w:val="decimal"/>
      <w:suff w:val="space"/>
      <w:lvlText w:val="%1."/>
      <w:lvlJc w:val="left"/>
    </w:lvl>
    <w:lvl w:ilvl="5" w:tentative="0">
      <w:start w:val="13"/>
      <w:numFmt w:val="decimal"/>
      <w:suff w:val="space"/>
      <w:lvlText w:val="%1."/>
      <w:lvlJc w:val="left"/>
    </w:lvl>
    <w:lvl w:ilvl="6" w:tentative="0">
      <w:start w:val="13"/>
      <w:numFmt w:val="decimal"/>
      <w:suff w:val="space"/>
      <w:lvlText w:val="%1."/>
      <w:lvlJc w:val="left"/>
    </w:lvl>
    <w:lvl w:ilvl="7" w:tentative="0">
      <w:start w:val="13"/>
      <w:numFmt w:val="decimal"/>
      <w:suff w:val="space"/>
      <w:lvlText w:val="%1."/>
      <w:lvlJc w:val="left"/>
    </w:lvl>
    <w:lvl w:ilvl="8" w:tentative="0">
      <w:start w:val="13"/>
      <w:numFmt w:val="decimal"/>
      <w:suff w:val="space"/>
      <w:lvlText w:val="%1."/>
      <w:lvlJc w:val="left"/>
    </w:lvl>
  </w:abstractNum>
  <w:abstractNum w:abstractNumId="5">
    <w:nsid w:val="2F000011"/>
    <w:multiLevelType w:val="multilevel"/>
    <w:tmpl w:val="2F000011"/>
    <w:lvl w:ilvl="0" w:tentative="0">
      <w:start w:val="1"/>
      <w:numFmt w:val="chineseCountingThousand"/>
      <w:lvlText w:val="第%1章"/>
      <w:lvlJc w:val="left"/>
      <w:pPr>
        <w:tabs>
          <w:tab w:val="left" w:pos="1134"/>
        </w:tabs>
        <w:ind w:left="1134" w:hanging="1134"/>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6">
    <w:nsid w:val="2F000016"/>
    <w:multiLevelType w:val="multilevel"/>
    <w:tmpl w:val="2F000016"/>
    <w:lvl w:ilvl="0" w:tentative="0">
      <w:start w:val="8"/>
      <w:numFmt w:val="decimal"/>
      <w:lvlText w:val="%1"/>
      <w:lvlJc w:val="left"/>
      <w:pPr>
        <w:tabs>
          <w:tab w:val="left" w:pos="720"/>
        </w:tabs>
        <w:ind w:left="720" w:hanging="720"/>
      </w:pPr>
      <w:rPr>
        <w:rFonts w:hint="default"/>
      </w:rPr>
    </w:lvl>
    <w:lvl w:ilvl="1" w:tentative="0">
      <w:start w:val="1"/>
      <w:numFmt w:val="decimal"/>
      <w:lvlText w:val="A%2"/>
      <w:lvlJc w:val="left"/>
      <w:pPr>
        <w:tabs>
          <w:tab w:val="left" w:pos="567"/>
        </w:tabs>
        <w:ind w:left="567" w:hanging="567"/>
      </w:pPr>
      <w:rPr>
        <w:rFonts w:hint="eastAsia"/>
        <w:b/>
        <w:i w:val="0"/>
        <w:sz w:val="21"/>
        <w:szCs w:val="21"/>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720"/>
        </w:tabs>
        <w:ind w:left="720" w:hanging="72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7">
    <w:nsid w:val="2F000029"/>
    <w:multiLevelType w:val="multilevel"/>
    <w:tmpl w:val="2F000029"/>
    <w:lvl w:ilvl="0" w:tentative="0">
      <w:start w:val="34"/>
      <w:numFmt w:val="decimal"/>
      <w:suff w:val="space"/>
      <w:lvlText w:val="%1."/>
      <w:lvlJc w:val="left"/>
    </w:lvl>
    <w:lvl w:ilvl="1" w:tentative="0">
      <w:start w:val="34"/>
      <w:numFmt w:val="decimal"/>
      <w:suff w:val="space"/>
      <w:lvlText w:val="%1."/>
      <w:lvlJc w:val="left"/>
    </w:lvl>
    <w:lvl w:ilvl="2" w:tentative="0">
      <w:start w:val="34"/>
      <w:numFmt w:val="decimal"/>
      <w:suff w:val="space"/>
      <w:lvlText w:val="%1."/>
      <w:lvlJc w:val="left"/>
    </w:lvl>
    <w:lvl w:ilvl="3" w:tentative="0">
      <w:start w:val="34"/>
      <w:numFmt w:val="decimal"/>
      <w:suff w:val="space"/>
      <w:lvlText w:val="%1."/>
      <w:lvlJc w:val="left"/>
    </w:lvl>
    <w:lvl w:ilvl="4" w:tentative="0">
      <w:start w:val="34"/>
      <w:numFmt w:val="decimal"/>
      <w:suff w:val="space"/>
      <w:lvlText w:val="%1."/>
      <w:lvlJc w:val="left"/>
    </w:lvl>
    <w:lvl w:ilvl="5" w:tentative="0">
      <w:start w:val="34"/>
      <w:numFmt w:val="decimal"/>
      <w:suff w:val="space"/>
      <w:lvlText w:val="%1."/>
      <w:lvlJc w:val="left"/>
    </w:lvl>
    <w:lvl w:ilvl="6" w:tentative="0">
      <w:start w:val="34"/>
      <w:numFmt w:val="decimal"/>
      <w:suff w:val="space"/>
      <w:lvlText w:val="%1."/>
      <w:lvlJc w:val="left"/>
    </w:lvl>
    <w:lvl w:ilvl="7" w:tentative="0">
      <w:start w:val="34"/>
      <w:numFmt w:val="decimal"/>
      <w:suff w:val="space"/>
      <w:lvlText w:val="%1."/>
      <w:lvlJc w:val="left"/>
    </w:lvl>
    <w:lvl w:ilvl="8" w:tentative="0">
      <w:start w:val="34"/>
      <w:numFmt w:val="decimal"/>
      <w:suff w:val="space"/>
      <w:lvlText w:val="%1."/>
      <w:lvlJc w:val="left"/>
    </w:lvl>
  </w:abstractNum>
  <w:abstractNum w:abstractNumId="8">
    <w:nsid w:val="2F00003B"/>
    <w:multiLevelType w:val="multilevel"/>
    <w:tmpl w:val="2F00003B"/>
    <w:lvl w:ilvl="0" w:tentative="0">
      <w:start w:val="23"/>
      <w:numFmt w:val="decimal"/>
      <w:suff w:val="space"/>
      <w:lvlText w:val="%1."/>
      <w:lvlJc w:val="left"/>
    </w:lvl>
    <w:lvl w:ilvl="1" w:tentative="0">
      <w:start w:val="23"/>
      <w:numFmt w:val="decimal"/>
      <w:suff w:val="space"/>
      <w:lvlText w:val="%1."/>
      <w:lvlJc w:val="left"/>
    </w:lvl>
    <w:lvl w:ilvl="2" w:tentative="0">
      <w:start w:val="23"/>
      <w:numFmt w:val="decimal"/>
      <w:suff w:val="space"/>
      <w:lvlText w:val="%1."/>
      <w:lvlJc w:val="left"/>
    </w:lvl>
    <w:lvl w:ilvl="3" w:tentative="0">
      <w:start w:val="23"/>
      <w:numFmt w:val="decimal"/>
      <w:suff w:val="space"/>
      <w:lvlText w:val="%1."/>
      <w:lvlJc w:val="left"/>
    </w:lvl>
    <w:lvl w:ilvl="4" w:tentative="0">
      <w:start w:val="23"/>
      <w:numFmt w:val="decimal"/>
      <w:suff w:val="space"/>
      <w:lvlText w:val="%1."/>
      <w:lvlJc w:val="left"/>
    </w:lvl>
    <w:lvl w:ilvl="5" w:tentative="0">
      <w:start w:val="23"/>
      <w:numFmt w:val="decimal"/>
      <w:suff w:val="space"/>
      <w:lvlText w:val="%1."/>
      <w:lvlJc w:val="left"/>
    </w:lvl>
    <w:lvl w:ilvl="6" w:tentative="0">
      <w:start w:val="23"/>
      <w:numFmt w:val="decimal"/>
      <w:suff w:val="space"/>
      <w:lvlText w:val="%1."/>
      <w:lvlJc w:val="left"/>
    </w:lvl>
    <w:lvl w:ilvl="7" w:tentative="0">
      <w:start w:val="23"/>
      <w:numFmt w:val="decimal"/>
      <w:suff w:val="space"/>
      <w:lvlText w:val="%1."/>
      <w:lvlJc w:val="left"/>
    </w:lvl>
    <w:lvl w:ilvl="8" w:tentative="0">
      <w:start w:val="23"/>
      <w:numFmt w:val="decimal"/>
      <w:suff w:val="space"/>
      <w:lvlText w:val="%1."/>
      <w:lvlJc w:val="left"/>
    </w:lvl>
  </w:abstractNum>
  <w:abstractNum w:abstractNumId="9">
    <w:nsid w:val="2F000045"/>
    <w:multiLevelType w:val="multilevel"/>
    <w:tmpl w:val="2F000045"/>
    <w:lvl w:ilvl="0" w:tentative="0">
      <w:start w:val="9"/>
      <w:numFmt w:val="decimal"/>
      <w:suff w:val="space"/>
      <w:lvlText w:val="%1."/>
      <w:lvlJc w:val="left"/>
    </w:lvl>
    <w:lvl w:ilvl="1" w:tentative="0">
      <w:start w:val="9"/>
      <w:numFmt w:val="decimal"/>
      <w:suff w:val="space"/>
      <w:lvlText w:val="%1."/>
      <w:lvlJc w:val="left"/>
    </w:lvl>
    <w:lvl w:ilvl="2" w:tentative="0">
      <w:start w:val="9"/>
      <w:numFmt w:val="decimal"/>
      <w:suff w:val="space"/>
      <w:lvlText w:val="%1."/>
      <w:lvlJc w:val="left"/>
    </w:lvl>
    <w:lvl w:ilvl="3" w:tentative="0">
      <w:start w:val="9"/>
      <w:numFmt w:val="decimal"/>
      <w:suff w:val="space"/>
      <w:lvlText w:val="%1."/>
      <w:lvlJc w:val="left"/>
    </w:lvl>
    <w:lvl w:ilvl="4" w:tentative="0">
      <w:start w:val="9"/>
      <w:numFmt w:val="decimal"/>
      <w:suff w:val="space"/>
      <w:lvlText w:val="%1."/>
      <w:lvlJc w:val="left"/>
    </w:lvl>
    <w:lvl w:ilvl="5" w:tentative="0">
      <w:start w:val="9"/>
      <w:numFmt w:val="decimal"/>
      <w:suff w:val="space"/>
      <w:lvlText w:val="%1."/>
      <w:lvlJc w:val="left"/>
    </w:lvl>
    <w:lvl w:ilvl="6" w:tentative="0">
      <w:start w:val="9"/>
      <w:numFmt w:val="decimal"/>
      <w:suff w:val="space"/>
      <w:lvlText w:val="%1."/>
      <w:lvlJc w:val="left"/>
    </w:lvl>
    <w:lvl w:ilvl="7" w:tentative="0">
      <w:start w:val="9"/>
      <w:numFmt w:val="decimal"/>
      <w:suff w:val="space"/>
      <w:lvlText w:val="%1."/>
      <w:lvlJc w:val="left"/>
    </w:lvl>
    <w:lvl w:ilvl="8" w:tentative="0">
      <w:start w:val="9"/>
      <w:numFmt w:val="decimal"/>
      <w:suff w:val="space"/>
      <w:lvlText w:val="%1."/>
      <w:lvlJc w:val="left"/>
    </w:lvl>
  </w:abstractNum>
  <w:num w:numId="1">
    <w:abstractNumId w:val="5"/>
  </w:num>
  <w:num w:numId="2">
    <w:abstractNumId w:val="9"/>
  </w:num>
  <w:num w:numId="3">
    <w:abstractNumId w:val="4"/>
  </w:num>
  <w:num w:numId="4">
    <w:abstractNumId w:val="3"/>
  </w:num>
  <w:num w:numId="5">
    <w:abstractNumId w:val="8"/>
  </w:num>
  <w:num w:numId="6">
    <w:abstractNumId w:val="7"/>
  </w:num>
  <w:num w:numId="7">
    <w:abstractNumId w:val="1"/>
  </w:num>
  <w:num w:numId="8">
    <w:abstractNumId w:val="6"/>
  </w:num>
  <w:num w:numId="9">
    <w:abstractNumId w:val="0"/>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hideSpellingErrors/>
  <w:documentProtection w:edit="trackedChanges" w:enforcement="0"/>
  <w:defaultTabStop w:val="420"/>
  <w:displayHorizontalDrawingGridEvery w:val="1"/>
  <w:displayVerticalDrawingGridEvery w:val="1"/>
  <w:noPunctuationKerning w:val="1"/>
  <w:characterSpacingControl w:val="compressPunctuation"/>
  <w:footnotePr>
    <w:footnote w:id="0"/>
    <w:footnote w:id="1"/>
  </w:footnotePr>
  <w:endnotePr>
    <w:endnote w:id="0"/>
    <w:endnote w:id="1"/>
  </w:endnotePr>
  <w:compat>
    <w:balanceSingleByteDoubleByteWidth/>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I3NmE2Y2RhY2ExZTYyZDQ5NmU3NTcyYTg0NmExNTYifQ=="/>
  </w:docVars>
  <w:rsids>
    <w:rsidRoot w:val="00BA3124"/>
    <w:rsid w:val="000000F2"/>
    <w:rsid w:val="00000139"/>
    <w:rsid w:val="000015EE"/>
    <w:rsid w:val="00001F81"/>
    <w:rsid w:val="00003D65"/>
    <w:rsid w:val="000045EA"/>
    <w:rsid w:val="00007C3F"/>
    <w:rsid w:val="000121FE"/>
    <w:rsid w:val="00012496"/>
    <w:rsid w:val="000133F6"/>
    <w:rsid w:val="000143B4"/>
    <w:rsid w:val="00015B06"/>
    <w:rsid w:val="000221CB"/>
    <w:rsid w:val="00022F88"/>
    <w:rsid w:val="000257D8"/>
    <w:rsid w:val="00030F30"/>
    <w:rsid w:val="00037F78"/>
    <w:rsid w:val="00040102"/>
    <w:rsid w:val="00040FCF"/>
    <w:rsid w:val="000437E6"/>
    <w:rsid w:val="00043A7E"/>
    <w:rsid w:val="00043DC9"/>
    <w:rsid w:val="00043E88"/>
    <w:rsid w:val="0004419E"/>
    <w:rsid w:val="0005200D"/>
    <w:rsid w:val="000574DB"/>
    <w:rsid w:val="00066110"/>
    <w:rsid w:val="00070470"/>
    <w:rsid w:val="00074337"/>
    <w:rsid w:val="00075937"/>
    <w:rsid w:val="00077483"/>
    <w:rsid w:val="000811B4"/>
    <w:rsid w:val="0008222E"/>
    <w:rsid w:val="000835FB"/>
    <w:rsid w:val="0008533F"/>
    <w:rsid w:val="00086A0A"/>
    <w:rsid w:val="00092270"/>
    <w:rsid w:val="00092AE4"/>
    <w:rsid w:val="0009493E"/>
    <w:rsid w:val="00095B78"/>
    <w:rsid w:val="000A1767"/>
    <w:rsid w:val="000A49C9"/>
    <w:rsid w:val="000B0AEB"/>
    <w:rsid w:val="000B34C7"/>
    <w:rsid w:val="000B467E"/>
    <w:rsid w:val="000B5BA2"/>
    <w:rsid w:val="000C1668"/>
    <w:rsid w:val="000C1D2F"/>
    <w:rsid w:val="000C20C1"/>
    <w:rsid w:val="000C32A2"/>
    <w:rsid w:val="000C401F"/>
    <w:rsid w:val="000C48AC"/>
    <w:rsid w:val="000C53FF"/>
    <w:rsid w:val="000C56A1"/>
    <w:rsid w:val="000C68D6"/>
    <w:rsid w:val="000D2B9F"/>
    <w:rsid w:val="000D3045"/>
    <w:rsid w:val="000D349E"/>
    <w:rsid w:val="000D3933"/>
    <w:rsid w:val="000D6F83"/>
    <w:rsid w:val="000E072A"/>
    <w:rsid w:val="000E7218"/>
    <w:rsid w:val="000E7DA5"/>
    <w:rsid w:val="000F56F5"/>
    <w:rsid w:val="000F5E28"/>
    <w:rsid w:val="000F6EB3"/>
    <w:rsid w:val="00100517"/>
    <w:rsid w:val="00100A70"/>
    <w:rsid w:val="00101DB2"/>
    <w:rsid w:val="00104D2E"/>
    <w:rsid w:val="00106C71"/>
    <w:rsid w:val="0011106B"/>
    <w:rsid w:val="001118C7"/>
    <w:rsid w:val="0011296C"/>
    <w:rsid w:val="001169E8"/>
    <w:rsid w:val="001207B4"/>
    <w:rsid w:val="001209DA"/>
    <w:rsid w:val="00126FBA"/>
    <w:rsid w:val="001315CE"/>
    <w:rsid w:val="00133A8C"/>
    <w:rsid w:val="00134F25"/>
    <w:rsid w:val="00135B62"/>
    <w:rsid w:val="00136FF6"/>
    <w:rsid w:val="00141670"/>
    <w:rsid w:val="001432B2"/>
    <w:rsid w:val="001445DC"/>
    <w:rsid w:val="001456F3"/>
    <w:rsid w:val="001520D4"/>
    <w:rsid w:val="0015296D"/>
    <w:rsid w:val="0015422E"/>
    <w:rsid w:val="00155DA1"/>
    <w:rsid w:val="00155FD4"/>
    <w:rsid w:val="00157014"/>
    <w:rsid w:val="00157E71"/>
    <w:rsid w:val="00162725"/>
    <w:rsid w:val="00163FD9"/>
    <w:rsid w:val="00166BCD"/>
    <w:rsid w:val="001677D4"/>
    <w:rsid w:val="0017175E"/>
    <w:rsid w:val="00171822"/>
    <w:rsid w:val="00173A08"/>
    <w:rsid w:val="00180594"/>
    <w:rsid w:val="00186A28"/>
    <w:rsid w:val="00190D52"/>
    <w:rsid w:val="0019581C"/>
    <w:rsid w:val="001960F7"/>
    <w:rsid w:val="001A1DF2"/>
    <w:rsid w:val="001A37D3"/>
    <w:rsid w:val="001A3FCA"/>
    <w:rsid w:val="001A4FF1"/>
    <w:rsid w:val="001A6E81"/>
    <w:rsid w:val="001B0893"/>
    <w:rsid w:val="001B1944"/>
    <w:rsid w:val="001B2ECA"/>
    <w:rsid w:val="001B5A71"/>
    <w:rsid w:val="001B5E47"/>
    <w:rsid w:val="001C0694"/>
    <w:rsid w:val="001C0C50"/>
    <w:rsid w:val="001C638D"/>
    <w:rsid w:val="001D0502"/>
    <w:rsid w:val="001D25D7"/>
    <w:rsid w:val="001D4715"/>
    <w:rsid w:val="001E0D82"/>
    <w:rsid w:val="001E0D93"/>
    <w:rsid w:val="001E5985"/>
    <w:rsid w:val="001E598A"/>
    <w:rsid w:val="001E5B2B"/>
    <w:rsid w:val="001E5F4A"/>
    <w:rsid w:val="001F1EC3"/>
    <w:rsid w:val="001F4F93"/>
    <w:rsid w:val="001F780D"/>
    <w:rsid w:val="00200134"/>
    <w:rsid w:val="002026D7"/>
    <w:rsid w:val="002041A6"/>
    <w:rsid w:val="00206D2E"/>
    <w:rsid w:val="00210670"/>
    <w:rsid w:val="00210D44"/>
    <w:rsid w:val="002120BE"/>
    <w:rsid w:val="00212AF9"/>
    <w:rsid w:val="002140EE"/>
    <w:rsid w:val="002141C8"/>
    <w:rsid w:val="00226768"/>
    <w:rsid w:val="00226771"/>
    <w:rsid w:val="00226B2E"/>
    <w:rsid w:val="00226D0E"/>
    <w:rsid w:val="002337E3"/>
    <w:rsid w:val="00237A98"/>
    <w:rsid w:val="002413F6"/>
    <w:rsid w:val="00242818"/>
    <w:rsid w:val="0024287B"/>
    <w:rsid w:val="00242E5E"/>
    <w:rsid w:val="0024305E"/>
    <w:rsid w:val="0024384D"/>
    <w:rsid w:val="002441F7"/>
    <w:rsid w:val="00246588"/>
    <w:rsid w:val="0024741B"/>
    <w:rsid w:val="0025424F"/>
    <w:rsid w:val="00261C93"/>
    <w:rsid w:val="00262D37"/>
    <w:rsid w:val="00262F1F"/>
    <w:rsid w:val="00265564"/>
    <w:rsid w:val="00272F80"/>
    <w:rsid w:val="00275361"/>
    <w:rsid w:val="0027764C"/>
    <w:rsid w:val="002822FF"/>
    <w:rsid w:val="0028366D"/>
    <w:rsid w:val="002854ED"/>
    <w:rsid w:val="002931EC"/>
    <w:rsid w:val="00293A15"/>
    <w:rsid w:val="00296707"/>
    <w:rsid w:val="002A20A0"/>
    <w:rsid w:val="002A50F8"/>
    <w:rsid w:val="002A5261"/>
    <w:rsid w:val="002B0BE3"/>
    <w:rsid w:val="002B1199"/>
    <w:rsid w:val="002B1394"/>
    <w:rsid w:val="002B33D2"/>
    <w:rsid w:val="002C0DAB"/>
    <w:rsid w:val="002C4CDE"/>
    <w:rsid w:val="002C556E"/>
    <w:rsid w:val="002C5B0F"/>
    <w:rsid w:val="002C7056"/>
    <w:rsid w:val="002D23D9"/>
    <w:rsid w:val="002D2931"/>
    <w:rsid w:val="002D4681"/>
    <w:rsid w:val="002D6C36"/>
    <w:rsid w:val="002D6D0E"/>
    <w:rsid w:val="002E190D"/>
    <w:rsid w:val="002E6BE3"/>
    <w:rsid w:val="002F6933"/>
    <w:rsid w:val="00301931"/>
    <w:rsid w:val="00301F81"/>
    <w:rsid w:val="003021FF"/>
    <w:rsid w:val="0030641C"/>
    <w:rsid w:val="00307ACC"/>
    <w:rsid w:val="00315C23"/>
    <w:rsid w:val="003166B6"/>
    <w:rsid w:val="00316E03"/>
    <w:rsid w:val="003207F4"/>
    <w:rsid w:val="00320BB7"/>
    <w:rsid w:val="00322E79"/>
    <w:rsid w:val="00330D78"/>
    <w:rsid w:val="00331CB9"/>
    <w:rsid w:val="00333ABA"/>
    <w:rsid w:val="003354EE"/>
    <w:rsid w:val="00337C6A"/>
    <w:rsid w:val="0034051F"/>
    <w:rsid w:val="0034095F"/>
    <w:rsid w:val="00344C1C"/>
    <w:rsid w:val="003464E7"/>
    <w:rsid w:val="00346854"/>
    <w:rsid w:val="003500BC"/>
    <w:rsid w:val="0035321B"/>
    <w:rsid w:val="00353318"/>
    <w:rsid w:val="00353E8A"/>
    <w:rsid w:val="00354E36"/>
    <w:rsid w:val="00355D2E"/>
    <w:rsid w:val="003568E4"/>
    <w:rsid w:val="00361313"/>
    <w:rsid w:val="00361733"/>
    <w:rsid w:val="0036732D"/>
    <w:rsid w:val="003706A5"/>
    <w:rsid w:val="003712A4"/>
    <w:rsid w:val="00373EAE"/>
    <w:rsid w:val="003767CC"/>
    <w:rsid w:val="00377206"/>
    <w:rsid w:val="00383573"/>
    <w:rsid w:val="00383BEC"/>
    <w:rsid w:val="00387AC9"/>
    <w:rsid w:val="00393EBC"/>
    <w:rsid w:val="00395A23"/>
    <w:rsid w:val="003976F0"/>
    <w:rsid w:val="003A0C71"/>
    <w:rsid w:val="003A12FF"/>
    <w:rsid w:val="003A170B"/>
    <w:rsid w:val="003A1E4C"/>
    <w:rsid w:val="003A286A"/>
    <w:rsid w:val="003A7F1A"/>
    <w:rsid w:val="003B097F"/>
    <w:rsid w:val="003B1842"/>
    <w:rsid w:val="003B2656"/>
    <w:rsid w:val="003B3099"/>
    <w:rsid w:val="003B32EC"/>
    <w:rsid w:val="003B43D3"/>
    <w:rsid w:val="003B6BE9"/>
    <w:rsid w:val="003C0FC8"/>
    <w:rsid w:val="003C2384"/>
    <w:rsid w:val="003C312A"/>
    <w:rsid w:val="003C4653"/>
    <w:rsid w:val="003C6560"/>
    <w:rsid w:val="003D0506"/>
    <w:rsid w:val="003D2AB3"/>
    <w:rsid w:val="003D3A75"/>
    <w:rsid w:val="003D6118"/>
    <w:rsid w:val="003D7B5F"/>
    <w:rsid w:val="003E0439"/>
    <w:rsid w:val="003E148A"/>
    <w:rsid w:val="003E249E"/>
    <w:rsid w:val="003E454F"/>
    <w:rsid w:val="003E456D"/>
    <w:rsid w:val="003E6DFB"/>
    <w:rsid w:val="003E7AEB"/>
    <w:rsid w:val="003F2270"/>
    <w:rsid w:val="003F29EB"/>
    <w:rsid w:val="003F3AAC"/>
    <w:rsid w:val="003F66A7"/>
    <w:rsid w:val="003F746F"/>
    <w:rsid w:val="00403D28"/>
    <w:rsid w:val="004043A2"/>
    <w:rsid w:val="0040617E"/>
    <w:rsid w:val="00410FCA"/>
    <w:rsid w:val="004117BD"/>
    <w:rsid w:val="004126B4"/>
    <w:rsid w:val="00412A48"/>
    <w:rsid w:val="00414B71"/>
    <w:rsid w:val="0041519C"/>
    <w:rsid w:val="004151CE"/>
    <w:rsid w:val="00417574"/>
    <w:rsid w:val="004215F1"/>
    <w:rsid w:val="0042215D"/>
    <w:rsid w:val="0043285C"/>
    <w:rsid w:val="00436E82"/>
    <w:rsid w:val="00440F9A"/>
    <w:rsid w:val="00443ADE"/>
    <w:rsid w:val="0044418D"/>
    <w:rsid w:val="004443F3"/>
    <w:rsid w:val="0044699B"/>
    <w:rsid w:val="004510F6"/>
    <w:rsid w:val="004518D2"/>
    <w:rsid w:val="004537A0"/>
    <w:rsid w:val="0045479E"/>
    <w:rsid w:val="0045655F"/>
    <w:rsid w:val="004619A4"/>
    <w:rsid w:val="004632AA"/>
    <w:rsid w:val="00463CFE"/>
    <w:rsid w:val="00474EDC"/>
    <w:rsid w:val="00474FAA"/>
    <w:rsid w:val="00476B58"/>
    <w:rsid w:val="00476FBE"/>
    <w:rsid w:val="004810F7"/>
    <w:rsid w:val="00483264"/>
    <w:rsid w:val="004853B9"/>
    <w:rsid w:val="0048558F"/>
    <w:rsid w:val="00487AE6"/>
    <w:rsid w:val="00496E09"/>
    <w:rsid w:val="004A0C16"/>
    <w:rsid w:val="004A0D30"/>
    <w:rsid w:val="004A15D9"/>
    <w:rsid w:val="004A5884"/>
    <w:rsid w:val="004B1E96"/>
    <w:rsid w:val="004B249C"/>
    <w:rsid w:val="004B508D"/>
    <w:rsid w:val="004B51A8"/>
    <w:rsid w:val="004B62C0"/>
    <w:rsid w:val="004B6350"/>
    <w:rsid w:val="004B6AEB"/>
    <w:rsid w:val="004C0462"/>
    <w:rsid w:val="004C09AF"/>
    <w:rsid w:val="004C26E5"/>
    <w:rsid w:val="004C7017"/>
    <w:rsid w:val="004C7456"/>
    <w:rsid w:val="004D03B0"/>
    <w:rsid w:val="004D0D9C"/>
    <w:rsid w:val="004D1018"/>
    <w:rsid w:val="004D1DC8"/>
    <w:rsid w:val="004D1DC9"/>
    <w:rsid w:val="004D2987"/>
    <w:rsid w:val="004D449E"/>
    <w:rsid w:val="004D54B9"/>
    <w:rsid w:val="004D5FD7"/>
    <w:rsid w:val="004E1101"/>
    <w:rsid w:val="004E12DE"/>
    <w:rsid w:val="004E33AC"/>
    <w:rsid w:val="004E565B"/>
    <w:rsid w:val="004E6FB9"/>
    <w:rsid w:val="004E71AB"/>
    <w:rsid w:val="004F1783"/>
    <w:rsid w:val="004F66C0"/>
    <w:rsid w:val="004F6E95"/>
    <w:rsid w:val="00500C4A"/>
    <w:rsid w:val="00505261"/>
    <w:rsid w:val="00510E4D"/>
    <w:rsid w:val="00512A45"/>
    <w:rsid w:val="00513EB4"/>
    <w:rsid w:val="0052410E"/>
    <w:rsid w:val="00524A56"/>
    <w:rsid w:val="00524D25"/>
    <w:rsid w:val="0052634A"/>
    <w:rsid w:val="005266E9"/>
    <w:rsid w:val="00532363"/>
    <w:rsid w:val="005335D1"/>
    <w:rsid w:val="005342D7"/>
    <w:rsid w:val="00537677"/>
    <w:rsid w:val="00540EA2"/>
    <w:rsid w:val="00541401"/>
    <w:rsid w:val="005418DB"/>
    <w:rsid w:val="0054269C"/>
    <w:rsid w:val="005448AD"/>
    <w:rsid w:val="00545594"/>
    <w:rsid w:val="00545844"/>
    <w:rsid w:val="00547F73"/>
    <w:rsid w:val="00550F16"/>
    <w:rsid w:val="005523E4"/>
    <w:rsid w:val="00552AC0"/>
    <w:rsid w:val="00554AE7"/>
    <w:rsid w:val="005565A7"/>
    <w:rsid w:val="005604D4"/>
    <w:rsid w:val="005649E5"/>
    <w:rsid w:val="00564C20"/>
    <w:rsid w:val="00565889"/>
    <w:rsid w:val="00566C98"/>
    <w:rsid w:val="0056716E"/>
    <w:rsid w:val="00571D43"/>
    <w:rsid w:val="005740F5"/>
    <w:rsid w:val="00574C3B"/>
    <w:rsid w:val="00575AB8"/>
    <w:rsid w:val="0057690D"/>
    <w:rsid w:val="00576BFE"/>
    <w:rsid w:val="0058368C"/>
    <w:rsid w:val="00584B5D"/>
    <w:rsid w:val="00587B70"/>
    <w:rsid w:val="00587D80"/>
    <w:rsid w:val="005A059C"/>
    <w:rsid w:val="005A1A6A"/>
    <w:rsid w:val="005A2E67"/>
    <w:rsid w:val="005A304F"/>
    <w:rsid w:val="005A3B95"/>
    <w:rsid w:val="005A5B47"/>
    <w:rsid w:val="005A62DF"/>
    <w:rsid w:val="005A6F6A"/>
    <w:rsid w:val="005B01E0"/>
    <w:rsid w:val="005B2E43"/>
    <w:rsid w:val="005B439E"/>
    <w:rsid w:val="005B54A3"/>
    <w:rsid w:val="005B64BA"/>
    <w:rsid w:val="005B7D92"/>
    <w:rsid w:val="005C1C4F"/>
    <w:rsid w:val="005C1FB7"/>
    <w:rsid w:val="005C5B0E"/>
    <w:rsid w:val="005D0BB2"/>
    <w:rsid w:val="005D10F7"/>
    <w:rsid w:val="005D30DE"/>
    <w:rsid w:val="005D7942"/>
    <w:rsid w:val="005D7FBA"/>
    <w:rsid w:val="005E5912"/>
    <w:rsid w:val="005E6316"/>
    <w:rsid w:val="005F1E31"/>
    <w:rsid w:val="005F2A05"/>
    <w:rsid w:val="005F2C46"/>
    <w:rsid w:val="005F5B89"/>
    <w:rsid w:val="005F7685"/>
    <w:rsid w:val="00602F5C"/>
    <w:rsid w:val="00604364"/>
    <w:rsid w:val="00606397"/>
    <w:rsid w:val="00610D6D"/>
    <w:rsid w:val="00613971"/>
    <w:rsid w:val="006141A3"/>
    <w:rsid w:val="00615A0F"/>
    <w:rsid w:val="006173A4"/>
    <w:rsid w:val="00620F1A"/>
    <w:rsid w:val="00621A28"/>
    <w:rsid w:val="00622520"/>
    <w:rsid w:val="006279E7"/>
    <w:rsid w:val="00630C4B"/>
    <w:rsid w:val="00634596"/>
    <w:rsid w:val="00636916"/>
    <w:rsid w:val="00637EA1"/>
    <w:rsid w:val="006425FA"/>
    <w:rsid w:val="00642B95"/>
    <w:rsid w:val="00646B7B"/>
    <w:rsid w:val="00647559"/>
    <w:rsid w:val="00651DD9"/>
    <w:rsid w:val="006523EB"/>
    <w:rsid w:val="0065265C"/>
    <w:rsid w:val="00653A34"/>
    <w:rsid w:val="00653C14"/>
    <w:rsid w:val="0065460D"/>
    <w:rsid w:val="00657FF9"/>
    <w:rsid w:val="0066001D"/>
    <w:rsid w:val="00660994"/>
    <w:rsid w:val="006679DC"/>
    <w:rsid w:val="006701AC"/>
    <w:rsid w:val="00670400"/>
    <w:rsid w:val="006724B7"/>
    <w:rsid w:val="00677925"/>
    <w:rsid w:val="00677A8A"/>
    <w:rsid w:val="006804FA"/>
    <w:rsid w:val="00680AD6"/>
    <w:rsid w:val="00681B00"/>
    <w:rsid w:val="006870F1"/>
    <w:rsid w:val="006904B2"/>
    <w:rsid w:val="006904BE"/>
    <w:rsid w:val="006922EC"/>
    <w:rsid w:val="00692720"/>
    <w:rsid w:val="00692F7F"/>
    <w:rsid w:val="00695BD6"/>
    <w:rsid w:val="00695EDE"/>
    <w:rsid w:val="006A09D0"/>
    <w:rsid w:val="006A23E9"/>
    <w:rsid w:val="006A2F07"/>
    <w:rsid w:val="006A341C"/>
    <w:rsid w:val="006A42A7"/>
    <w:rsid w:val="006A4439"/>
    <w:rsid w:val="006A4D72"/>
    <w:rsid w:val="006A543A"/>
    <w:rsid w:val="006B37C7"/>
    <w:rsid w:val="006B6F3C"/>
    <w:rsid w:val="006C0558"/>
    <w:rsid w:val="006C21DA"/>
    <w:rsid w:val="006C27BF"/>
    <w:rsid w:val="006C2D0C"/>
    <w:rsid w:val="006C3847"/>
    <w:rsid w:val="006C4DC3"/>
    <w:rsid w:val="006C5D44"/>
    <w:rsid w:val="006C77CD"/>
    <w:rsid w:val="006D0072"/>
    <w:rsid w:val="006D1255"/>
    <w:rsid w:val="006D2C2B"/>
    <w:rsid w:val="006D3513"/>
    <w:rsid w:val="006D5D9F"/>
    <w:rsid w:val="006D7949"/>
    <w:rsid w:val="006D7DA1"/>
    <w:rsid w:val="006E1C8A"/>
    <w:rsid w:val="006E1CFF"/>
    <w:rsid w:val="006E32D8"/>
    <w:rsid w:val="006E35EC"/>
    <w:rsid w:val="006E37AD"/>
    <w:rsid w:val="006E5308"/>
    <w:rsid w:val="006F0669"/>
    <w:rsid w:val="006F1293"/>
    <w:rsid w:val="006F41CD"/>
    <w:rsid w:val="006F48AD"/>
    <w:rsid w:val="006F56A7"/>
    <w:rsid w:val="006F601F"/>
    <w:rsid w:val="006F629E"/>
    <w:rsid w:val="00702CEF"/>
    <w:rsid w:val="007032FC"/>
    <w:rsid w:val="00703D29"/>
    <w:rsid w:val="00703F0B"/>
    <w:rsid w:val="00705C65"/>
    <w:rsid w:val="007076B1"/>
    <w:rsid w:val="007112CA"/>
    <w:rsid w:val="0071236E"/>
    <w:rsid w:val="0071264D"/>
    <w:rsid w:val="00712F48"/>
    <w:rsid w:val="0071330B"/>
    <w:rsid w:val="00717494"/>
    <w:rsid w:val="0072051F"/>
    <w:rsid w:val="00722F66"/>
    <w:rsid w:val="00722FCE"/>
    <w:rsid w:val="007230D0"/>
    <w:rsid w:val="007258A2"/>
    <w:rsid w:val="00725977"/>
    <w:rsid w:val="00733600"/>
    <w:rsid w:val="007339A9"/>
    <w:rsid w:val="00734404"/>
    <w:rsid w:val="007345D7"/>
    <w:rsid w:val="00735BD4"/>
    <w:rsid w:val="00736B0B"/>
    <w:rsid w:val="007373DD"/>
    <w:rsid w:val="00737A61"/>
    <w:rsid w:val="00741B8D"/>
    <w:rsid w:val="00746901"/>
    <w:rsid w:val="007469E7"/>
    <w:rsid w:val="00746D36"/>
    <w:rsid w:val="00750C92"/>
    <w:rsid w:val="00751CDD"/>
    <w:rsid w:val="00753178"/>
    <w:rsid w:val="007534CB"/>
    <w:rsid w:val="00754FB0"/>
    <w:rsid w:val="00756CAA"/>
    <w:rsid w:val="00756D14"/>
    <w:rsid w:val="00762BE0"/>
    <w:rsid w:val="00762CB8"/>
    <w:rsid w:val="0076576D"/>
    <w:rsid w:val="0077088A"/>
    <w:rsid w:val="007751E3"/>
    <w:rsid w:val="00781FE4"/>
    <w:rsid w:val="007838E8"/>
    <w:rsid w:val="00785F88"/>
    <w:rsid w:val="00786B37"/>
    <w:rsid w:val="007877D5"/>
    <w:rsid w:val="00792362"/>
    <w:rsid w:val="0079519C"/>
    <w:rsid w:val="00796180"/>
    <w:rsid w:val="007A04DC"/>
    <w:rsid w:val="007A287A"/>
    <w:rsid w:val="007A2EB0"/>
    <w:rsid w:val="007A5556"/>
    <w:rsid w:val="007B04FF"/>
    <w:rsid w:val="007B22CC"/>
    <w:rsid w:val="007B6DA0"/>
    <w:rsid w:val="007C0A8F"/>
    <w:rsid w:val="007C15ED"/>
    <w:rsid w:val="007C19AE"/>
    <w:rsid w:val="007C2BBC"/>
    <w:rsid w:val="007C2CCC"/>
    <w:rsid w:val="007C337F"/>
    <w:rsid w:val="007D02A8"/>
    <w:rsid w:val="007D04F4"/>
    <w:rsid w:val="007D0888"/>
    <w:rsid w:val="007D2179"/>
    <w:rsid w:val="007D2FAE"/>
    <w:rsid w:val="007D399D"/>
    <w:rsid w:val="007D441B"/>
    <w:rsid w:val="007D59AF"/>
    <w:rsid w:val="007D7DEB"/>
    <w:rsid w:val="007E1BA9"/>
    <w:rsid w:val="007E201C"/>
    <w:rsid w:val="007E381F"/>
    <w:rsid w:val="007E74A7"/>
    <w:rsid w:val="007E7F03"/>
    <w:rsid w:val="007F0619"/>
    <w:rsid w:val="007F0AAA"/>
    <w:rsid w:val="007F28DB"/>
    <w:rsid w:val="007F4345"/>
    <w:rsid w:val="007F7B34"/>
    <w:rsid w:val="00803C1E"/>
    <w:rsid w:val="00804954"/>
    <w:rsid w:val="00810B98"/>
    <w:rsid w:val="0081164E"/>
    <w:rsid w:val="00816129"/>
    <w:rsid w:val="008176A7"/>
    <w:rsid w:val="008177BD"/>
    <w:rsid w:val="00817D86"/>
    <w:rsid w:val="00824189"/>
    <w:rsid w:val="008252F0"/>
    <w:rsid w:val="008269AE"/>
    <w:rsid w:val="00826C39"/>
    <w:rsid w:val="00826EBD"/>
    <w:rsid w:val="00836417"/>
    <w:rsid w:val="0083668C"/>
    <w:rsid w:val="00836E69"/>
    <w:rsid w:val="00840E0D"/>
    <w:rsid w:val="0084277A"/>
    <w:rsid w:val="008461E9"/>
    <w:rsid w:val="008475AA"/>
    <w:rsid w:val="00855A4E"/>
    <w:rsid w:val="00855D0E"/>
    <w:rsid w:val="00856676"/>
    <w:rsid w:val="00856873"/>
    <w:rsid w:val="00860F02"/>
    <w:rsid w:val="00861912"/>
    <w:rsid w:val="0086365B"/>
    <w:rsid w:val="008657A4"/>
    <w:rsid w:val="0086730C"/>
    <w:rsid w:val="008750C5"/>
    <w:rsid w:val="008761A0"/>
    <w:rsid w:val="008777EC"/>
    <w:rsid w:val="0088026D"/>
    <w:rsid w:val="00881EB7"/>
    <w:rsid w:val="0088203D"/>
    <w:rsid w:val="00884596"/>
    <w:rsid w:val="00884884"/>
    <w:rsid w:val="0088570D"/>
    <w:rsid w:val="00887902"/>
    <w:rsid w:val="00891420"/>
    <w:rsid w:val="00894CB4"/>
    <w:rsid w:val="00895FBB"/>
    <w:rsid w:val="008961D4"/>
    <w:rsid w:val="008973E6"/>
    <w:rsid w:val="008A0C18"/>
    <w:rsid w:val="008A1E1B"/>
    <w:rsid w:val="008A5FBB"/>
    <w:rsid w:val="008B0302"/>
    <w:rsid w:val="008B09E8"/>
    <w:rsid w:val="008B0AE8"/>
    <w:rsid w:val="008B224C"/>
    <w:rsid w:val="008C05CF"/>
    <w:rsid w:val="008C1461"/>
    <w:rsid w:val="008C1FAF"/>
    <w:rsid w:val="008C2226"/>
    <w:rsid w:val="008C4276"/>
    <w:rsid w:val="008C5153"/>
    <w:rsid w:val="008C534F"/>
    <w:rsid w:val="008C77F8"/>
    <w:rsid w:val="008D2976"/>
    <w:rsid w:val="008D55B2"/>
    <w:rsid w:val="008D6D95"/>
    <w:rsid w:val="008E500C"/>
    <w:rsid w:val="008F2A48"/>
    <w:rsid w:val="008F720F"/>
    <w:rsid w:val="009021F6"/>
    <w:rsid w:val="009028BF"/>
    <w:rsid w:val="00902910"/>
    <w:rsid w:val="00904592"/>
    <w:rsid w:val="00905412"/>
    <w:rsid w:val="009060CB"/>
    <w:rsid w:val="00906D34"/>
    <w:rsid w:val="0091169E"/>
    <w:rsid w:val="009120C7"/>
    <w:rsid w:val="009123C5"/>
    <w:rsid w:val="00916179"/>
    <w:rsid w:val="00917615"/>
    <w:rsid w:val="00921481"/>
    <w:rsid w:val="00921A28"/>
    <w:rsid w:val="00922F1D"/>
    <w:rsid w:val="00925337"/>
    <w:rsid w:val="00930239"/>
    <w:rsid w:val="00931174"/>
    <w:rsid w:val="009336C8"/>
    <w:rsid w:val="00937B1F"/>
    <w:rsid w:val="0094110B"/>
    <w:rsid w:val="009423A4"/>
    <w:rsid w:val="00944B82"/>
    <w:rsid w:val="00945006"/>
    <w:rsid w:val="00952E15"/>
    <w:rsid w:val="00955F7B"/>
    <w:rsid w:val="00956B31"/>
    <w:rsid w:val="00956FA8"/>
    <w:rsid w:val="00957AA0"/>
    <w:rsid w:val="009604CB"/>
    <w:rsid w:val="00962C11"/>
    <w:rsid w:val="00965538"/>
    <w:rsid w:val="00967371"/>
    <w:rsid w:val="00971F0D"/>
    <w:rsid w:val="0097464F"/>
    <w:rsid w:val="00975B33"/>
    <w:rsid w:val="009772EB"/>
    <w:rsid w:val="0098466F"/>
    <w:rsid w:val="00984BFB"/>
    <w:rsid w:val="00991B49"/>
    <w:rsid w:val="00991D05"/>
    <w:rsid w:val="009939D0"/>
    <w:rsid w:val="00995A55"/>
    <w:rsid w:val="009964B6"/>
    <w:rsid w:val="00997A87"/>
    <w:rsid w:val="009A1C5B"/>
    <w:rsid w:val="009A1FFC"/>
    <w:rsid w:val="009A7B76"/>
    <w:rsid w:val="009B0988"/>
    <w:rsid w:val="009B1B5B"/>
    <w:rsid w:val="009B1BFA"/>
    <w:rsid w:val="009B2B4B"/>
    <w:rsid w:val="009B68EE"/>
    <w:rsid w:val="009C320E"/>
    <w:rsid w:val="009C5DF4"/>
    <w:rsid w:val="009C5EBB"/>
    <w:rsid w:val="009C6064"/>
    <w:rsid w:val="009C6E1B"/>
    <w:rsid w:val="009D30BB"/>
    <w:rsid w:val="009D3453"/>
    <w:rsid w:val="009D431A"/>
    <w:rsid w:val="009D5237"/>
    <w:rsid w:val="009E1329"/>
    <w:rsid w:val="009E28E5"/>
    <w:rsid w:val="009E2F4D"/>
    <w:rsid w:val="009E3318"/>
    <w:rsid w:val="009E4CE3"/>
    <w:rsid w:val="009F214A"/>
    <w:rsid w:val="009F374F"/>
    <w:rsid w:val="009F588C"/>
    <w:rsid w:val="00A02C14"/>
    <w:rsid w:val="00A03373"/>
    <w:rsid w:val="00A05ECF"/>
    <w:rsid w:val="00A100F7"/>
    <w:rsid w:val="00A116B0"/>
    <w:rsid w:val="00A11C51"/>
    <w:rsid w:val="00A126E5"/>
    <w:rsid w:val="00A12C63"/>
    <w:rsid w:val="00A1337E"/>
    <w:rsid w:val="00A22A35"/>
    <w:rsid w:val="00A24133"/>
    <w:rsid w:val="00A249A4"/>
    <w:rsid w:val="00A24D71"/>
    <w:rsid w:val="00A2528E"/>
    <w:rsid w:val="00A261D2"/>
    <w:rsid w:val="00A2643C"/>
    <w:rsid w:val="00A33F45"/>
    <w:rsid w:val="00A34C49"/>
    <w:rsid w:val="00A4068C"/>
    <w:rsid w:val="00A421CE"/>
    <w:rsid w:val="00A44467"/>
    <w:rsid w:val="00A44C24"/>
    <w:rsid w:val="00A51022"/>
    <w:rsid w:val="00A529C6"/>
    <w:rsid w:val="00A54F86"/>
    <w:rsid w:val="00A5671B"/>
    <w:rsid w:val="00A63392"/>
    <w:rsid w:val="00A67971"/>
    <w:rsid w:val="00A722C5"/>
    <w:rsid w:val="00A74D68"/>
    <w:rsid w:val="00A80044"/>
    <w:rsid w:val="00A80406"/>
    <w:rsid w:val="00A83992"/>
    <w:rsid w:val="00A859DC"/>
    <w:rsid w:val="00A85D7D"/>
    <w:rsid w:val="00A85EAD"/>
    <w:rsid w:val="00A86417"/>
    <w:rsid w:val="00A872DA"/>
    <w:rsid w:val="00A90B9F"/>
    <w:rsid w:val="00A9122E"/>
    <w:rsid w:val="00A91F36"/>
    <w:rsid w:val="00A923BF"/>
    <w:rsid w:val="00A93A7F"/>
    <w:rsid w:val="00A97B0B"/>
    <w:rsid w:val="00AA4795"/>
    <w:rsid w:val="00AA63BA"/>
    <w:rsid w:val="00AB029B"/>
    <w:rsid w:val="00AB19DA"/>
    <w:rsid w:val="00AB4FA3"/>
    <w:rsid w:val="00AB52C3"/>
    <w:rsid w:val="00AB675B"/>
    <w:rsid w:val="00AB6B27"/>
    <w:rsid w:val="00AC4375"/>
    <w:rsid w:val="00AD122B"/>
    <w:rsid w:val="00AD629B"/>
    <w:rsid w:val="00AD649B"/>
    <w:rsid w:val="00AD6B25"/>
    <w:rsid w:val="00AD6ED0"/>
    <w:rsid w:val="00AE13A9"/>
    <w:rsid w:val="00AE2C17"/>
    <w:rsid w:val="00AE5333"/>
    <w:rsid w:val="00AE61ED"/>
    <w:rsid w:val="00AE6F3C"/>
    <w:rsid w:val="00AE73B7"/>
    <w:rsid w:val="00AF196A"/>
    <w:rsid w:val="00AF54E1"/>
    <w:rsid w:val="00B0080D"/>
    <w:rsid w:val="00B04E81"/>
    <w:rsid w:val="00B054A7"/>
    <w:rsid w:val="00B054BE"/>
    <w:rsid w:val="00B0579A"/>
    <w:rsid w:val="00B05F20"/>
    <w:rsid w:val="00B062CE"/>
    <w:rsid w:val="00B14E6B"/>
    <w:rsid w:val="00B16089"/>
    <w:rsid w:val="00B16411"/>
    <w:rsid w:val="00B2097B"/>
    <w:rsid w:val="00B2125F"/>
    <w:rsid w:val="00B2407B"/>
    <w:rsid w:val="00B25923"/>
    <w:rsid w:val="00B26432"/>
    <w:rsid w:val="00B266B6"/>
    <w:rsid w:val="00B33E2B"/>
    <w:rsid w:val="00B34D24"/>
    <w:rsid w:val="00B36CB6"/>
    <w:rsid w:val="00B36FD6"/>
    <w:rsid w:val="00B412B9"/>
    <w:rsid w:val="00B457D5"/>
    <w:rsid w:val="00B46611"/>
    <w:rsid w:val="00B47764"/>
    <w:rsid w:val="00B4784E"/>
    <w:rsid w:val="00B512B6"/>
    <w:rsid w:val="00B52D63"/>
    <w:rsid w:val="00B565D4"/>
    <w:rsid w:val="00B56BC4"/>
    <w:rsid w:val="00B60368"/>
    <w:rsid w:val="00B62476"/>
    <w:rsid w:val="00B626BB"/>
    <w:rsid w:val="00B724FE"/>
    <w:rsid w:val="00B80D2F"/>
    <w:rsid w:val="00B82E58"/>
    <w:rsid w:val="00B863CD"/>
    <w:rsid w:val="00B8685E"/>
    <w:rsid w:val="00B90995"/>
    <w:rsid w:val="00B90EB4"/>
    <w:rsid w:val="00B96041"/>
    <w:rsid w:val="00B97802"/>
    <w:rsid w:val="00BA0E5D"/>
    <w:rsid w:val="00BA3124"/>
    <w:rsid w:val="00BA37AA"/>
    <w:rsid w:val="00BA4879"/>
    <w:rsid w:val="00BA4EF2"/>
    <w:rsid w:val="00BA540E"/>
    <w:rsid w:val="00BA55B3"/>
    <w:rsid w:val="00BA7E0C"/>
    <w:rsid w:val="00BB0CCB"/>
    <w:rsid w:val="00BB2465"/>
    <w:rsid w:val="00BB2B84"/>
    <w:rsid w:val="00BB4575"/>
    <w:rsid w:val="00BB7304"/>
    <w:rsid w:val="00BC12CD"/>
    <w:rsid w:val="00BC175F"/>
    <w:rsid w:val="00BC34E9"/>
    <w:rsid w:val="00BC4999"/>
    <w:rsid w:val="00BC5E0F"/>
    <w:rsid w:val="00BD048A"/>
    <w:rsid w:val="00BD2157"/>
    <w:rsid w:val="00BD389A"/>
    <w:rsid w:val="00BD636E"/>
    <w:rsid w:val="00BD6F90"/>
    <w:rsid w:val="00BE060F"/>
    <w:rsid w:val="00BE1F58"/>
    <w:rsid w:val="00BE2F9C"/>
    <w:rsid w:val="00BE392B"/>
    <w:rsid w:val="00BE3C13"/>
    <w:rsid w:val="00BE4BAF"/>
    <w:rsid w:val="00BF087B"/>
    <w:rsid w:val="00BF13B2"/>
    <w:rsid w:val="00BF3812"/>
    <w:rsid w:val="00BF4099"/>
    <w:rsid w:val="00C00F71"/>
    <w:rsid w:val="00C031A5"/>
    <w:rsid w:val="00C03FB6"/>
    <w:rsid w:val="00C06587"/>
    <w:rsid w:val="00C07A4F"/>
    <w:rsid w:val="00C13489"/>
    <w:rsid w:val="00C158E3"/>
    <w:rsid w:val="00C244BA"/>
    <w:rsid w:val="00C2519C"/>
    <w:rsid w:val="00C25425"/>
    <w:rsid w:val="00C254EC"/>
    <w:rsid w:val="00C25AD7"/>
    <w:rsid w:val="00C31620"/>
    <w:rsid w:val="00C34524"/>
    <w:rsid w:val="00C3532B"/>
    <w:rsid w:val="00C3605A"/>
    <w:rsid w:val="00C3769F"/>
    <w:rsid w:val="00C4070E"/>
    <w:rsid w:val="00C4643C"/>
    <w:rsid w:val="00C46538"/>
    <w:rsid w:val="00C46568"/>
    <w:rsid w:val="00C475B3"/>
    <w:rsid w:val="00C50F38"/>
    <w:rsid w:val="00C519A3"/>
    <w:rsid w:val="00C524FA"/>
    <w:rsid w:val="00C54866"/>
    <w:rsid w:val="00C557E5"/>
    <w:rsid w:val="00C55E92"/>
    <w:rsid w:val="00C56715"/>
    <w:rsid w:val="00C61DF1"/>
    <w:rsid w:val="00C636A8"/>
    <w:rsid w:val="00C649A3"/>
    <w:rsid w:val="00C64C38"/>
    <w:rsid w:val="00C65FA0"/>
    <w:rsid w:val="00C6606A"/>
    <w:rsid w:val="00C716E6"/>
    <w:rsid w:val="00C72A24"/>
    <w:rsid w:val="00C736D2"/>
    <w:rsid w:val="00C7432E"/>
    <w:rsid w:val="00C75571"/>
    <w:rsid w:val="00C76FE6"/>
    <w:rsid w:val="00C80245"/>
    <w:rsid w:val="00C8124B"/>
    <w:rsid w:val="00C8178E"/>
    <w:rsid w:val="00C834F6"/>
    <w:rsid w:val="00C84A36"/>
    <w:rsid w:val="00C84FEE"/>
    <w:rsid w:val="00C85D99"/>
    <w:rsid w:val="00C91707"/>
    <w:rsid w:val="00C91765"/>
    <w:rsid w:val="00C96612"/>
    <w:rsid w:val="00C976A1"/>
    <w:rsid w:val="00CA0E6A"/>
    <w:rsid w:val="00CA115B"/>
    <w:rsid w:val="00CA3F44"/>
    <w:rsid w:val="00CA4DB7"/>
    <w:rsid w:val="00CA4EDA"/>
    <w:rsid w:val="00CA6144"/>
    <w:rsid w:val="00CA6CAC"/>
    <w:rsid w:val="00CB103A"/>
    <w:rsid w:val="00CB3033"/>
    <w:rsid w:val="00CB3C9F"/>
    <w:rsid w:val="00CB5F47"/>
    <w:rsid w:val="00CC0FA9"/>
    <w:rsid w:val="00CC18DB"/>
    <w:rsid w:val="00CC1C15"/>
    <w:rsid w:val="00CC375D"/>
    <w:rsid w:val="00CC46A2"/>
    <w:rsid w:val="00CC4FB0"/>
    <w:rsid w:val="00CC5B47"/>
    <w:rsid w:val="00CC6D92"/>
    <w:rsid w:val="00CD04A5"/>
    <w:rsid w:val="00CD66D6"/>
    <w:rsid w:val="00CD7D67"/>
    <w:rsid w:val="00CE01EF"/>
    <w:rsid w:val="00CE5CF4"/>
    <w:rsid w:val="00CF001A"/>
    <w:rsid w:val="00CF0250"/>
    <w:rsid w:val="00CF355D"/>
    <w:rsid w:val="00D0134F"/>
    <w:rsid w:val="00D0202D"/>
    <w:rsid w:val="00D043AD"/>
    <w:rsid w:val="00D06C66"/>
    <w:rsid w:val="00D072A1"/>
    <w:rsid w:val="00D10D67"/>
    <w:rsid w:val="00D124B6"/>
    <w:rsid w:val="00D14919"/>
    <w:rsid w:val="00D14E99"/>
    <w:rsid w:val="00D1571D"/>
    <w:rsid w:val="00D21E36"/>
    <w:rsid w:val="00D22BAB"/>
    <w:rsid w:val="00D22CA2"/>
    <w:rsid w:val="00D2321E"/>
    <w:rsid w:val="00D23492"/>
    <w:rsid w:val="00D26520"/>
    <w:rsid w:val="00D277F8"/>
    <w:rsid w:val="00D300DD"/>
    <w:rsid w:val="00D311AE"/>
    <w:rsid w:val="00D31A84"/>
    <w:rsid w:val="00D33C92"/>
    <w:rsid w:val="00D34371"/>
    <w:rsid w:val="00D353F0"/>
    <w:rsid w:val="00D44F13"/>
    <w:rsid w:val="00D45385"/>
    <w:rsid w:val="00D479CD"/>
    <w:rsid w:val="00D50D2A"/>
    <w:rsid w:val="00D52ED9"/>
    <w:rsid w:val="00D55A38"/>
    <w:rsid w:val="00D57C1D"/>
    <w:rsid w:val="00D6016D"/>
    <w:rsid w:val="00D60576"/>
    <w:rsid w:val="00D659F8"/>
    <w:rsid w:val="00D66AB0"/>
    <w:rsid w:val="00D7231B"/>
    <w:rsid w:val="00D73829"/>
    <w:rsid w:val="00D77BCE"/>
    <w:rsid w:val="00D812C8"/>
    <w:rsid w:val="00D816BB"/>
    <w:rsid w:val="00D829D0"/>
    <w:rsid w:val="00D831E8"/>
    <w:rsid w:val="00D841A1"/>
    <w:rsid w:val="00D84F11"/>
    <w:rsid w:val="00D90303"/>
    <w:rsid w:val="00D91030"/>
    <w:rsid w:val="00D91940"/>
    <w:rsid w:val="00D92C17"/>
    <w:rsid w:val="00D930BB"/>
    <w:rsid w:val="00D932AD"/>
    <w:rsid w:val="00D93779"/>
    <w:rsid w:val="00D95A48"/>
    <w:rsid w:val="00D95A4C"/>
    <w:rsid w:val="00D95BD7"/>
    <w:rsid w:val="00D97F97"/>
    <w:rsid w:val="00DA12F0"/>
    <w:rsid w:val="00DB181C"/>
    <w:rsid w:val="00DB2200"/>
    <w:rsid w:val="00DB58CB"/>
    <w:rsid w:val="00DC3C79"/>
    <w:rsid w:val="00DC5EB5"/>
    <w:rsid w:val="00DC5F38"/>
    <w:rsid w:val="00DD132F"/>
    <w:rsid w:val="00DD78AE"/>
    <w:rsid w:val="00DD78E6"/>
    <w:rsid w:val="00DE249D"/>
    <w:rsid w:val="00DE3825"/>
    <w:rsid w:val="00DE49ED"/>
    <w:rsid w:val="00DE7E18"/>
    <w:rsid w:val="00DF1BE1"/>
    <w:rsid w:val="00DF439B"/>
    <w:rsid w:val="00DF5814"/>
    <w:rsid w:val="00DF6C21"/>
    <w:rsid w:val="00DF6C36"/>
    <w:rsid w:val="00DF7BB9"/>
    <w:rsid w:val="00E02431"/>
    <w:rsid w:val="00E02BE5"/>
    <w:rsid w:val="00E03C51"/>
    <w:rsid w:val="00E11081"/>
    <w:rsid w:val="00E13C8A"/>
    <w:rsid w:val="00E148F4"/>
    <w:rsid w:val="00E2004A"/>
    <w:rsid w:val="00E22781"/>
    <w:rsid w:val="00E245D0"/>
    <w:rsid w:val="00E255AC"/>
    <w:rsid w:val="00E26053"/>
    <w:rsid w:val="00E312D2"/>
    <w:rsid w:val="00E33009"/>
    <w:rsid w:val="00E3415B"/>
    <w:rsid w:val="00E4207D"/>
    <w:rsid w:val="00E42EAA"/>
    <w:rsid w:val="00E43660"/>
    <w:rsid w:val="00E449D8"/>
    <w:rsid w:val="00E45D74"/>
    <w:rsid w:val="00E51F99"/>
    <w:rsid w:val="00E52414"/>
    <w:rsid w:val="00E55177"/>
    <w:rsid w:val="00E57591"/>
    <w:rsid w:val="00E653F5"/>
    <w:rsid w:val="00E667FC"/>
    <w:rsid w:val="00E72DB3"/>
    <w:rsid w:val="00E72F1F"/>
    <w:rsid w:val="00E763ED"/>
    <w:rsid w:val="00E80A9B"/>
    <w:rsid w:val="00E811CE"/>
    <w:rsid w:val="00E85B31"/>
    <w:rsid w:val="00E86025"/>
    <w:rsid w:val="00E8709E"/>
    <w:rsid w:val="00E91C8A"/>
    <w:rsid w:val="00E93BCC"/>
    <w:rsid w:val="00E9439E"/>
    <w:rsid w:val="00E94474"/>
    <w:rsid w:val="00E945F9"/>
    <w:rsid w:val="00E947DF"/>
    <w:rsid w:val="00E9526F"/>
    <w:rsid w:val="00E96E54"/>
    <w:rsid w:val="00EA0F86"/>
    <w:rsid w:val="00EA1145"/>
    <w:rsid w:val="00EA11E5"/>
    <w:rsid w:val="00EA1ED7"/>
    <w:rsid w:val="00EA3FDA"/>
    <w:rsid w:val="00EA5C66"/>
    <w:rsid w:val="00EA6F6A"/>
    <w:rsid w:val="00EB09CB"/>
    <w:rsid w:val="00EB0C24"/>
    <w:rsid w:val="00EB13EB"/>
    <w:rsid w:val="00EC0728"/>
    <w:rsid w:val="00EC1617"/>
    <w:rsid w:val="00EC2752"/>
    <w:rsid w:val="00EC2D7B"/>
    <w:rsid w:val="00EC3475"/>
    <w:rsid w:val="00EC7653"/>
    <w:rsid w:val="00ED4554"/>
    <w:rsid w:val="00ED5241"/>
    <w:rsid w:val="00ED64CD"/>
    <w:rsid w:val="00ED7DBB"/>
    <w:rsid w:val="00EE19D7"/>
    <w:rsid w:val="00EE5896"/>
    <w:rsid w:val="00EE6E83"/>
    <w:rsid w:val="00EE6FF6"/>
    <w:rsid w:val="00EF20F4"/>
    <w:rsid w:val="00EF2D43"/>
    <w:rsid w:val="00EF2D68"/>
    <w:rsid w:val="00EF4BB5"/>
    <w:rsid w:val="00EF5BD9"/>
    <w:rsid w:val="00EF6456"/>
    <w:rsid w:val="00F00891"/>
    <w:rsid w:val="00F02662"/>
    <w:rsid w:val="00F06631"/>
    <w:rsid w:val="00F0794E"/>
    <w:rsid w:val="00F102B2"/>
    <w:rsid w:val="00F105FA"/>
    <w:rsid w:val="00F115E5"/>
    <w:rsid w:val="00F121C0"/>
    <w:rsid w:val="00F143F6"/>
    <w:rsid w:val="00F1492D"/>
    <w:rsid w:val="00F160B7"/>
    <w:rsid w:val="00F1690F"/>
    <w:rsid w:val="00F2140E"/>
    <w:rsid w:val="00F23B65"/>
    <w:rsid w:val="00F275D0"/>
    <w:rsid w:val="00F27C97"/>
    <w:rsid w:val="00F321F7"/>
    <w:rsid w:val="00F331FE"/>
    <w:rsid w:val="00F344A6"/>
    <w:rsid w:val="00F344D6"/>
    <w:rsid w:val="00F3485E"/>
    <w:rsid w:val="00F348DA"/>
    <w:rsid w:val="00F35244"/>
    <w:rsid w:val="00F37250"/>
    <w:rsid w:val="00F3752A"/>
    <w:rsid w:val="00F401AB"/>
    <w:rsid w:val="00F40FBF"/>
    <w:rsid w:val="00F4149C"/>
    <w:rsid w:val="00F414D7"/>
    <w:rsid w:val="00F4165C"/>
    <w:rsid w:val="00F41ABA"/>
    <w:rsid w:val="00F4368E"/>
    <w:rsid w:val="00F43D41"/>
    <w:rsid w:val="00F502E0"/>
    <w:rsid w:val="00F52C3C"/>
    <w:rsid w:val="00F52F5A"/>
    <w:rsid w:val="00F54E34"/>
    <w:rsid w:val="00F55CCE"/>
    <w:rsid w:val="00F56501"/>
    <w:rsid w:val="00F57034"/>
    <w:rsid w:val="00F5705E"/>
    <w:rsid w:val="00F603CC"/>
    <w:rsid w:val="00F64A9E"/>
    <w:rsid w:val="00F64F57"/>
    <w:rsid w:val="00F70167"/>
    <w:rsid w:val="00F705AE"/>
    <w:rsid w:val="00F74EBD"/>
    <w:rsid w:val="00F82ADB"/>
    <w:rsid w:val="00F831B3"/>
    <w:rsid w:val="00F86B8B"/>
    <w:rsid w:val="00F8733F"/>
    <w:rsid w:val="00F910EF"/>
    <w:rsid w:val="00F91562"/>
    <w:rsid w:val="00F921B4"/>
    <w:rsid w:val="00F94057"/>
    <w:rsid w:val="00F962CD"/>
    <w:rsid w:val="00F96524"/>
    <w:rsid w:val="00FA25D3"/>
    <w:rsid w:val="00FA3D6B"/>
    <w:rsid w:val="00FA4022"/>
    <w:rsid w:val="00FA6493"/>
    <w:rsid w:val="00FA65E2"/>
    <w:rsid w:val="00FA7DC3"/>
    <w:rsid w:val="00FB255F"/>
    <w:rsid w:val="00FB3AAB"/>
    <w:rsid w:val="00FB6924"/>
    <w:rsid w:val="00FB7E37"/>
    <w:rsid w:val="00FC02B4"/>
    <w:rsid w:val="00FC4D62"/>
    <w:rsid w:val="00FC4DC3"/>
    <w:rsid w:val="00FD1370"/>
    <w:rsid w:val="00FD5F55"/>
    <w:rsid w:val="00FE0D6B"/>
    <w:rsid w:val="00FE2042"/>
    <w:rsid w:val="00FE3364"/>
    <w:rsid w:val="00FE34A0"/>
    <w:rsid w:val="00FE4EC0"/>
    <w:rsid w:val="00FE63D6"/>
    <w:rsid w:val="00FE6711"/>
    <w:rsid w:val="00FF2D5E"/>
    <w:rsid w:val="00FF3FB5"/>
    <w:rsid w:val="00FF5A2F"/>
    <w:rsid w:val="010075EB"/>
    <w:rsid w:val="014464BB"/>
    <w:rsid w:val="018A2DD6"/>
    <w:rsid w:val="01944FA6"/>
    <w:rsid w:val="01B254D2"/>
    <w:rsid w:val="01B32DAC"/>
    <w:rsid w:val="01ED0EB7"/>
    <w:rsid w:val="01FA0FE4"/>
    <w:rsid w:val="02012CC2"/>
    <w:rsid w:val="021B48C8"/>
    <w:rsid w:val="02204B8A"/>
    <w:rsid w:val="022B2C0A"/>
    <w:rsid w:val="022F6BC7"/>
    <w:rsid w:val="02416F44"/>
    <w:rsid w:val="0244425F"/>
    <w:rsid w:val="024D776B"/>
    <w:rsid w:val="026A0AE8"/>
    <w:rsid w:val="0277107B"/>
    <w:rsid w:val="027E2B09"/>
    <w:rsid w:val="029119C5"/>
    <w:rsid w:val="02C90803"/>
    <w:rsid w:val="02DA49BF"/>
    <w:rsid w:val="02E77631"/>
    <w:rsid w:val="031469F7"/>
    <w:rsid w:val="03346EF1"/>
    <w:rsid w:val="034104E4"/>
    <w:rsid w:val="034E77FA"/>
    <w:rsid w:val="037E7B55"/>
    <w:rsid w:val="038247D1"/>
    <w:rsid w:val="038932DA"/>
    <w:rsid w:val="039244C7"/>
    <w:rsid w:val="03AC5851"/>
    <w:rsid w:val="03AE2FE7"/>
    <w:rsid w:val="03B562A5"/>
    <w:rsid w:val="03B84CAB"/>
    <w:rsid w:val="03BF0DB3"/>
    <w:rsid w:val="03CE6E4F"/>
    <w:rsid w:val="03EC7ADB"/>
    <w:rsid w:val="03F241D3"/>
    <w:rsid w:val="040A5563"/>
    <w:rsid w:val="0412063E"/>
    <w:rsid w:val="04155FF2"/>
    <w:rsid w:val="042268D9"/>
    <w:rsid w:val="042C1E25"/>
    <w:rsid w:val="043128C5"/>
    <w:rsid w:val="04405E89"/>
    <w:rsid w:val="04506123"/>
    <w:rsid w:val="04516C11"/>
    <w:rsid w:val="046B508B"/>
    <w:rsid w:val="04723FE0"/>
    <w:rsid w:val="04831DF5"/>
    <w:rsid w:val="04953394"/>
    <w:rsid w:val="04AE2C39"/>
    <w:rsid w:val="04B638C9"/>
    <w:rsid w:val="04BA090E"/>
    <w:rsid w:val="04C035DB"/>
    <w:rsid w:val="04DC7AA1"/>
    <w:rsid w:val="052E6A0B"/>
    <w:rsid w:val="05351C19"/>
    <w:rsid w:val="05464E54"/>
    <w:rsid w:val="05507DB3"/>
    <w:rsid w:val="0555214E"/>
    <w:rsid w:val="055D3305"/>
    <w:rsid w:val="056E0C00"/>
    <w:rsid w:val="05756DA2"/>
    <w:rsid w:val="058A5177"/>
    <w:rsid w:val="059B7983"/>
    <w:rsid w:val="059D3FC3"/>
    <w:rsid w:val="05A0262C"/>
    <w:rsid w:val="05A209B1"/>
    <w:rsid w:val="05B16FE4"/>
    <w:rsid w:val="05B6346C"/>
    <w:rsid w:val="05DA3800"/>
    <w:rsid w:val="05DD2CAF"/>
    <w:rsid w:val="05EB5EC4"/>
    <w:rsid w:val="05EF467C"/>
    <w:rsid w:val="062C2A0E"/>
    <w:rsid w:val="06474F59"/>
    <w:rsid w:val="06493CDF"/>
    <w:rsid w:val="06682478"/>
    <w:rsid w:val="067D6448"/>
    <w:rsid w:val="068C63E6"/>
    <w:rsid w:val="069E5968"/>
    <w:rsid w:val="06AF3171"/>
    <w:rsid w:val="06B46DF4"/>
    <w:rsid w:val="06D0743C"/>
    <w:rsid w:val="06D277CE"/>
    <w:rsid w:val="06D54086"/>
    <w:rsid w:val="06F93FB6"/>
    <w:rsid w:val="071D537B"/>
    <w:rsid w:val="07441979"/>
    <w:rsid w:val="07476CBE"/>
    <w:rsid w:val="07680C05"/>
    <w:rsid w:val="076C2B3D"/>
    <w:rsid w:val="07944BFB"/>
    <w:rsid w:val="07A20778"/>
    <w:rsid w:val="07C30DC0"/>
    <w:rsid w:val="07CB1C49"/>
    <w:rsid w:val="07FE491D"/>
    <w:rsid w:val="080541CB"/>
    <w:rsid w:val="080833FF"/>
    <w:rsid w:val="081109FA"/>
    <w:rsid w:val="081F5E64"/>
    <w:rsid w:val="083D5587"/>
    <w:rsid w:val="08487BCE"/>
    <w:rsid w:val="084E2C38"/>
    <w:rsid w:val="08542415"/>
    <w:rsid w:val="0857273B"/>
    <w:rsid w:val="086064EB"/>
    <w:rsid w:val="08826C9A"/>
    <w:rsid w:val="0885360A"/>
    <w:rsid w:val="088840F9"/>
    <w:rsid w:val="08935B48"/>
    <w:rsid w:val="08962007"/>
    <w:rsid w:val="08A460BD"/>
    <w:rsid w:val="08A95FDE"/>
    <w:rsid w:val="08BD08B7"/>
    <w:rsid w:val="08C279CD"/>
    <w:rsid w:val="08E67064"/>
    <w:rsid w:val="08E850C3"/>
    <w:rsid w:val="08E92ED7"/>
    <w:rsid w:val="08F85B47"/>
    <w:rsid w:val="0900752E"/>
    <w:rsid w:val="0937501A"/>
    <w:rsid w:val="093E1C02"/>
    <w:rsid w:val="0955265E"/>
    <w:rsid w:val="09556F00"/>
    <w:rsid w:val="096156B5"/>
    <w:rsid w:val="09761A18"/>
    <w:rsid w:val="09874053"/>
    <w:rsid w:val="098C15AD"/>
    <w:rsid w:val="0999523A"/>
    <w:rsid w:val="09D0648D"/>
    <w:rsid w:val="0A03435D"/>
    <w:rsid w:val="0A110812"/>
    <w:rsid w:val="0A111F5C"/>
    <w:rsid w:val="0A216D3B"/>
    <w:rsid w:val="0A2A589F"/>
    <w:rsid w:val="0A2F7DC2"/>
    <w:rsid w:val="0A4941EF"/>
    <w:rsid w:val="0A54111B"/>
    <w:rsid w:val="0A7A508D"/>
    <w:rsid w:val="0AAB574F"/>
    <w:rsid w:val="0AB623B0"/>
    <w:rsid w:val="0ABC2E87"/>
    <w:rsid w:val="0ABF53B4"/>
    <w:rsid w:val="0AC01B2F"/>
    <w:rsid w:val="0ACD69C7"/>
    <w:rsid w:val="0AD063E7"/>
    <w:rsid w:val="0AD84D58"/>
    <w:rsid w:val="0AE36146"/>
    <w:rsid w:val="0AE77571"/>
    <w:rsid w:val="0AED7863"/>
    <w:rsid w:val="0AF33383"/>
    <w:rsid w:val="0B1E54CC"/>
    <w:rsid w:val="0B526C20"/>
    <w:rsid w:val="0B5F3D2C"/>
    <w:rsid w:val="0B6357F2"/>
    <w:rsid w:val="0B6920C9"/>
    <w:rsid w:val="0BB9314C"/>
    <w:rsid w:val="0BC25FDA"/>
    <w:rsid w:val="0BCB3067"/>
    <w:rsid w:val="0BE77114"/>
    <w:rsid w:val="0BFA6134"/>
    <w:rsid w:val="0C156278"/>
    <w:rsid w:val="0C193FE8"/>
    <w:rsid w:val="0C3279E8"/>
    <w:rsid w:val="0C3B6B9E"/>
    <w:rsid w:val="0C457826"/>
    <w:rsid w:val="0C4D4F79"/>
    <w:rsid w:val="0C6D2071"/>
    <w:rsid w:val="0C783830"/>
    <w:rsid w:val="0C9040A9"/>
    <w:rsid w:val="0C9772B7"/>
    <w:rsid w:val="0C9D11C1"/>
    <w:rsid w:val="0D0343E8"/>
    <w:rsid w:val="0D0904F0"/>
    <w:rsid w:val="0D1F7467"/>
    <w:rsid w:val="0D376CD8"/>
    <w:rsid w:val="0D3E6E23"/>
    <w:rsid w:val="0D460BF6"/>
    <w:rsid w:val="0D6C0594"/>
    <w:rsid w:val="0D7E3D32"/>
    <w:rsid w:val="0D8743CA"/>
    <w:rsid w:val="0D966621"/>
    <w:rsid w:val="0DA4122C"/>
    <w:rsid w:val="0DA96558"/>
    <w:rsid w:val="0DB7190D"/>
    <w:rsid w:val="0DBC1618"/>
    <w:rsid w:val="0DC37C2D"/>
    <w:rsid w:val="0DDD3D4B"/>
    <w:rsid w:val="0DF742E8"/>
    <w:rsid w:val="0DFB38A9"/>
    <w:rsid w:val="0DFC6867"/>
    <w:rsid w:val="0E054B31"/>
    <w:rsid w:val="0E1C4DF8"/>
    <w:rsid w:val="0E442C5F"/>
    <w:rsid w:val="0E4449F4"/>
    <w:rsid w:val="0E5C239D"/>
    <w:rsid w:val="0E6C5623"/>
    <w:rsid w:val="0E9A16A0"/>
    <w:rsid w:val="0E9C3A80"/>
    <w:rsid w:val="0EA83860"/>
    <w:rsid w:val="0EC11DB1"/>
    <w:rsid w:val="0ECA3487"/>
    <w:rsid w:val="0EDF2674"/>
    <w:rsid w:val="0EE27EFA"/>
    <w:rsid w:val="0EE73304"/>
    <w:rsid w:val="0EEB1960"/>
    <w:rsid w:val="0EEF2F3A"/>
    <w:rsid w:val="0EF1079A"/>
    <w:rsid w:val="0F034B9F"/>
    <w:rsid w:val="0F334EAC"/>
    <w:rsid w:val="0F380CF4"/>
    <w:rsid w:val="0F482EAC"/>
    <w:rsid w:val="0F4B55A7"/>
    <w:rsid w:val="0F5D74B7"/>
    <w:rsid w:val="0F7F0EF9"/>
    <w:rsid w:val="0F851459"/>
    <w:rsid w:val="0F8F1193"/>
    <w:rsid w:val="0FA20284"/>
    <w:rsid w:val="0FAE47D0"/>
    <w:rsid w:val="0FAF2C1E"/>
    <w:rsid w:val="0FC5746F"/>
    <w:rsid w:val="0FC73B58"/>
    <w:rsid w:val="0FE04AF8"/>
    <w:rsid w:val="0FED31DB"/>
    <w:rsid w:val="0FF878BE"/>
    <w:rsid w:val="1012557E"/>
    <w:rsid w:val="10141182"/>
    <w:rsid w:val="102742DA"/>
    <w:rsid w:val="10360A28"/>
    <w:rsid w:val="10394744"/>
    <w:rsid w:val="103D3495"/>
    <w:rsid w:val="1046543F"/>
    <w:rsid w:val="105A40DF"/>
    <w:rsid w:val="107E68E7"/>
    <w:rsid w:val="10864944"/>
    <w:rsid w:val="109615A9"/>
    <w:rsid w:val="10B10371"/>
    <w:rsid w:val="10BC4184"/>
    <w:rsid w:val="10BE0833"/>
    <w:rsid w:val="10CD621A"/>
    <w:rsid w:val="10E430B3"/>
    <w:rsid w:val="10F05ACB"/>
    <w:rsid w:val="10F52DBA"/>
    <w:rsid w:val="110000F0"/>
    <w:rsid w:val="110C1984"/>
    <w:rsid w:val="112214F7"/>
    <w:rsid w:val="112528C9"/>
    <w:rsid w:val="113B4A52"/>
    <w:rsid w:val="115469A1"/>
    <w:rsid w:val="115A5307"/>
    <w:rsid w:val="11731ED8"/>
    <w:rsid w:val="11771730"/>
    <w:rsid w:val="11790C53"/>
    <w:rsid w:val="1186164E"/>
    <w:rsid w:val="118916FB"/>
    <w:rsid w:val="118F66DA"/>
    <w:rsid w:val="11C15967"/>
    <w:rsid w:val="11CC1DC3"/>
    <w:rsid w:val="11CE1A42"/>
    <w:rsid w:val="11D87F8D"/>
    <w:rsid w:val="11E21A55"/>
    <w:rsid w:val="11E86E62"/>
    <w:rsid w:val="11F96B7B"/>
    <w:rsid w:val="12062999"/>
    <w:rsid w:val="122E1F54"/>
    <w:rsid w:val="122F4065"/>
    <w:rsid w:val="12463C8B"/>
    <w:rsid w:val="12550A22"/>
    <w:rsid w:val="125819A7"/>
    <w:rsid w:val="128072E8"/>
    <w:rsid w:val="128105EC"/>
    <w:rsid w:val="1296148B"/>
    <w:rsid w:val="12A8461D"/>
    <w:rsid w:val="12A93DFA"/>
    <w:rsid w:val="12AF45B4"/>
    <w:rsid w:val="12B677C2"/>
    <w:rsid w:val="12DB1D83"/>
    <w:rsid w:val="12DF2B84"/>
    <w:rsid w:val="12E60B70"/>
    <w:rsid w:val="12E87176"/>
    <w:rsid w:val="12EB341D"/>
    <w:rsid w:val="12EF1239"/>
    <w:rsid w:val="12FE7BB6"/>
    <w:rsid w:val="13233F21"/>
    <w:rsid w:val="133176F4"/>
    <w:rsid w:val="134F66BB"/>
    <w:rsid w:val="1351446D"/>
    <w:rsid w:val="135E6CD6"/>
    <w:rsid w:val="136256DC"/>
    <w:rsid w:val="13C156F5"/>
    <w:rsid w:val="13C41980"/>
    <w:rsid w:val="13D9661F"/>
    <w:rsid w:val="13E75DFD"/>
    <w:rsid w:val="13EF4F40"/>
    <w:rsid w:val="13FD0428"/>
    <w:rsid w:val="14015E2E"/>
    <w:rsid w:val="14030ED7"/>
    <w:rsid w:val="14200317"/>
    <w:rsid w:val="142F2909"/>
    <w:rsid w:val="142F43C4"/>
    <w:rsid w:val="143E3F7E"/>
    <w:rsid w:val="148370CB"/>
    <w:rsid w:val="14A4376A"/>
    <w:rsid w:val="14AF1AFB"/>
    <w:rsid w:val="14AF537E"/>
    <w:rsid w:val="14DF538A"/>
    <w:rsid w:val="14F8090B"/>
    <w:rsid w:val="14FE50FD"/>
    <w:rsid w:val="15134595"/>
    <w:rsid w:val="1523533D"/>
    <w:rsid w:val="155E7499"/>
    <w:rsid w:val="15926C0E"/>
    <w:rsid w:val="15AB6757"/>
    <w:rsid w:val="15B754F7"/>
    <w:rsid w:val="161A6E20"/>
    <w:rsid w:val="161E52F6"/>
    <w:rsid w:val="161F42CE"/>
    <w:rsid w:val="16244BA5"/>
    <w:rsid w:val="16427D13"/>
    <w:rsid w:val="16446E8C"/>
    <w:rsid w:val="1649189C"/>
    <w:rsid w:val="16682151"/>
    <w:rsid w:val="16693194"/>
    <w:rsid w:val="1674297A"/>
    <w:rsid w:val="16873E04"/>
    <w:rsid w:val="16A24CDB"/>
    <w:rsid w:val="16AC1CCC"/>
    <w:rsid w:val="16DD7794"/>
    <w:rsid w:val="16F83FBE"/>
    <w:rsid w:val="17020B8B"/>
    <w:rsid w:val="17134B7E"/>
    <w:rsid w:val="172D57AC"/>
    <w:rsid w:val="174156B7"/>
    <w:rsid w:val="17451FF2"/>
    <w:rsid w:val="17465256"/>
    <w:rsid w:val="175A07E0"/>
    <w:rsid w:val="175D1764"/>
    <w:rsid w:val="17653B72"/>
    <w:rsid w:val="177B25F5"/>
    <w:rsid w:val="177E3E97"/>
    <w:rsid w:val="178E1F33"/>
    <w:rsid w:val="17A10E21"/>
    <w:rsid w:val="17AA7A6C"/>
    <w:rsid w:val="17DB7A23"/>
    <w:rsid w:val="17EF7DDE"/>
    <w:rsid w:val="17F001BC"/>
    <w:rsid w:val="180F4F9D"/>
    <w:rsid w:val="181C294C"/>
    <w:rsid w:val="1841525A"/>
    <w:rsid w:val="18814E45"/>
    <w:rsid w:val="18D16761"/>
    <w:rsid w:val="18DC2EDA"/>
    <w:rsid w:val="18DF2FA2"/>
    <w:rsid w:val="18F56002"/>
    <w:rsid w:val="18FF308F"/>
    <w:rsid w:val="190D0464"/>
    <w:rsid w:val="19193C38"/>
    <w:rsid w:val="19212A90"/>
    <w:rsid w:val="192B2C59"/>
    <w:rsid w:val="19763D46"/>
    <w:rsid w:val="198F649E"/>
    <w:rsid w:val="199204E8"/>
    <w:rsid w:val="19AB0160"/>
    <w:rsid w:val="19B634E4"/>
    <w:rsid w:val="19B67296"/>
    <w:rsid w:val="19BD0D56"/>
    <w:rsid w:val="19CA72DF"/>
    <w:rsid w:val="19DD3743"/>
    <w:rsid w:val="19F72CAC"/>
    <w:rsid w:val="19FD3D59"/>
    <w:rsid w:val="1A175E5A"/>
    <w:rsid w:val="1A1773DF"/>
    <w:rsid w:val="1A347747"/>
    <w:rsid w:val="1A3811A1"/>
    <w:rsid w:val="1A4A65D3"/>
    <w:rsid w:val="1A551442"/>
    <w:rsid w:val="1A6B1AA9"/>
    <w:rsid w:val="1A82366D"/>
    <w:rsid w:val="1A84167E"/>
    <w:rsid w:val="1A9557B6"/>
    <w:rsid w:val="1AA85649"/>
    <w:rsid w:val="1AA9305D"/>
    <w:rsid w:val="1AB001C9"/>
    <w:rsid w:val="1AC132AD"/>
    <w:rsid w:val="1AD50A96"/>
    <w:rsid w:val="1AE82C29"/>
    <w:rsid w:val="1AE84762"/>
    <w:rsid w:val="1B023DB0"/>
    <w:rsid w:val="1B0424DF"/>
    <w:rsid w:val="1B0E6672"/>
    <w:rsid w:val="1B487750"/>
    <w:rsid w:val="1B4C3F58"/>
    <w:rsid w:val="1B507884"/>
    <w:rsid w:val="1B516F09"/>
    <w:rsid w:val="1B531365"/>
    <w:rsid w:val="1B5A0CF0"/>
    <w:rsid w:val="1BA445E7"/>
    <w:rsid w:val="1BAB1CAE"/>
    <w:rsid w:val="1BAC38A3"/>
    <w:rsid w:val="1BB42683"/>
    <w:rsid w:val="1BB52303"/>
    <w:rsid w:val="1BBA51B0"/>
    <w:rsid w:val="1BC04F4C"/>
    <w:rsid w:val="1BC16115"/>
    <w:rsid w:val="1BC9751D"/>
    <w:rsid w:val="1BCF2EAD"/>
    <w:rsid w:val="1BD72652"/>
    <w:rsid w:val="1BD81D53"/>
    <w:rsid w:val="1BE76213"/>
    <w:rsid w:val="1BE972DA"/>
    <w:rsid w:val="1BF636F2"/>
    <w:rsid w:val="1BFD04F9"/>
    <w:rsid w:val="1C0C2F65"/>
    <w:rsid w:val="1C0F7519"/>
    <w:rsid w:val="1C104F28"/>
    <w:rsid w:val="1C2D3246"/>
    <w:rsid w:val="1C3A035E"/>
    <w:rsid w:val="1C3F2267"/>
    <w:rsid w:val="1C5A786C"/>
    <w:rsid w:val="1C694603"/>
    <w:rsid w:val="1C700838"/>
    <w:rsid w:val="1C725F39"/>
    <w:rsid w:val="1C7A4A57"/>
    <w:rsid w:val="1CE32D75"/>
    <w:rsid w:val="1CE76FE6"/>
    <w:rsid w:val="1CF27B0C"/>
    <w:rsid w:val="1D123CB9"/>
    <w:rsid w:val="1D54432D"/>
    <w:rsid w:val="1D5B63A3"/>
    <w:rsid w:val="1DB41DC8"/>
    <w:rsid w:val="1DB60B4F"/>
    <w:rsid w:val="1DC0365D"/>
    <w:rsid w:val="1DDC1B87"/>
    <w:rsid w:val="1DDF068E"/>
    <w:rsid w:val="1DE06110"/>
    <w:rsid w:val="1DF5042B"/>
    <w:rsid w:val="1E270F6A"/>
    <w:rsid w:val="1E29560A"/>
    <w:rsid w:val="1E33399B"/>
    <w:rsid w:val="1E3D59F6"/>
    <w:rsid w:val="1E501C47"/>
    <w:rsid w:val="1E521DDC"/>
    <w:rsid w:val="1E5A0411"/>
    <w:rsid w:val="1E615C1A"/>
    <w:rsid w:val="1E723480"/>
    <w:rsid w:val="1E805990"/>
    <w:rsid w:val="1E981141"/>
    <w:rsid w:val="1ECA08A3"/>
    <w:rsid w:val="1ED16069"/>
    <w:rsid w:val="1EDC5093"/>
    <w:rsid w:val="1F1B206A"/>
    <w:rsid w:val="1F3F2891"/>
    <w:rsid w:val="1F4278CA"/>
    <w:rsid w:val="1F4934E4"/>
    <w:rsid w:val="1F741DA9"/>
    <w:rsid w:val="1F921359"/>
    <w:rsid w:val="1F9B1C69"/>
    <w:rsid w:val="1FA47A22"/>
    <w:rsid w:val="1FB52F12"/>
    <w:rsid w:val="1FC31B28"/>
    <w:rsid w:val="1FD85D63"/>
    <w:rsid w:val="1FDB2A52"/>
    <w:rsid w:val="1FDF5A1E"/>
    <w:rsid w:val="1FEA0867"/>
    <w:rsid w:val="1FF05C03"/>
    <w:rsid w:val="200B6827"/>
    <w:rsid w:val="200C7BFB"/>
    <w:rsid w:val="201673B4"/>
    <w:rsid w:val="205F60D4"/>
    <w:rsid w:val="20737353"/>
    <w:rsid w:val="20841BE6"/>
    <w:rsid w:val="2087096D"/>
    <w:rsid w:val="209D4D0F"/>
    <w:rsid w:val="20BB2DEE"/>
    <w:rsid w:val="20CD2264"/>
    <w:rsid w:val="20E40D06"/>
    <w:rsid w:val="20F25736"/>
    <w:rsid w:val="20F37C9C"/>
    <w:rsid w:val="20F86BF8"/>
    <w:rsid w:val="21053439"/>
    <w:rsid w:val="210B2A97"/>
    <w:rsid w:val="211B33DF"/>
    <w:rsid w:val="211C1B31"/>
    <w:rsid w:val="212154AC"/>
    <w:rsid w:val="212632D9"/>
    <w:rsid w:val="212A726B"/>
    <w:rsid w:val="213360C4"/>
    <w:rsid w:val="214445A3"/>
    <w:rsid w:val="215C4B82"/>
    <w:rsid w:val="217414EF"/>
    <w:rsid w:val="218A2096"/>
    <w:rsid w:val="21B535DD"/>
    <w:rsid w:val="21BD3A96"/>
    <w:rsid w:val="21D37566"/>
    <w:rsid w:val="21D7200F"/>
    <w:rsid w:val="21DA4716"/>
    <w:rsid w:val="21E36050"/>
    <w:rsid w:val="21E52AA7"/>
    <w:rsid w:val="2204335C"/>
    <w:rsid w:val="220747FA"/>
    <w:rsid w:val="220F766F"/>
    <w:rsid w:val="22264B96"/>
    <w:rsid w:val="222D4521"/>
    <w:rsid w:val="22315125"/>
    <w:rsid w:val="22520EDD"/>
    <w:rsid w:val="226520FC"/>
    <w:rsid w:val="226B7889"/>
    <w:rsid w:val="228E32C0"/>
    <w:rsid w:val="229A6171"/>
    <w:rsid w:val="22B00A35"/>
    <w:rsid w:val="22D02FAE"/>
    <w:rsid w:val="22D633D5"/>
    <w:rsid w:val="22DE5C18"/>
    <w:rsid w:val="22FB0071"/>
    <w:rsid w:val="22FD3574"/>
    <w:rsid w:val="23045086"/>
    <w:rsid w:val="23140F9B"/>
    <w:rsid w:val="2316746F"/>
    <w:rsid w:val="233E161A"/>
    <w:rsid w:val="234D4CE0"/>
    <w:rsid w:val="23547806"/>
    <w:rsid w:val="23603619"/>
    <w:rsid w:val="23613299"/>
    <w:rsid w:val="23672FA4"/>
    <w:rsid w:val="236A0E4E"/>
    <w:rsid w:val="236C162A"/>
    <w:rsid w:val="23791FD4"/>
    <w:rsid w:val="23865A00"/>
    <w:rsid w:val="23913DE8"/>
    <w:rsid w:val="23A857F1"/>
    <w:rsid w:val="23B24AE2"/>
    <w:rsid w:val="23B91729"/>
    <w:rsid w:val="23D6539D"/>
    <w:rsid w:val="24084D2B"/>
    <w:rsid w:val="241D4B57"/>
    <w:rsid w:val="24236224"/>
    <w:rsid w:val="2425685A"/>
    <w:rsid w:val="24301B4D"/>
    <w:rsid w:val="243E1570"/>
    <w:rsid w:val="244E5C3A"/>
    <w:rsid w:val="24575D36"/>
    <w:rsid w:val="246C2851"/>
    <w:rsid w:val="24701268"/>
    <w:rsid w:val="247846A1"/>
    <w:rsid w:val="24794F9B"/>
    <w:rsid w:val="248249F5"/>
    <w:rsid w:val="248705C4"/>
    <w:rsid w:val="248F70E0"/>
    <w:rsid w:val="2494490F"/>
    <w:rsid w:val="249C1CC3"/>
    <w:rsid w:val="249E0AA2"/>
    <w:rsid w:val="24A36A13"/>
    <w:rsid w:val="24AC7768"/>
    <w:rsid w:val="24AF2DCF"/>
    <w:rsid w:val="24B52569"/>
    <w:rsid w:val="24C63A58"/>
    <w:rsid w:val="24DD4E1D"/>
    <w:rsid w:val="24E45DA7"/>
    <w:rsid w:val="24E8060D"/>
    <w:rsid w:val="24E9074E"/>
    <w:rsid w:val="24ED56A6"/>
    <w:rsid w:val="250B1734"/>
    <w:rsid w:val="25215953"/>
    <w:rsid w:val="25230CFB"/>
    <w:rsid w:val="25396722"/>
    <w:rsid w:val="25397845"/>
    <w:rsid w:val="25602A1C"/>
    <w:rsid w:val="25701558"/>
    <w:rsid w:val="259C54CD"/>
    <w:rsid w:val="25AE312A"/>
    <w:rsid w:val="25AF49D4"/>
    <w:rsid w:val="25BF65FB"/>
    <w:rsid w:val="25C744D7"/>
    <w:rsid w:val="25E33490"/>
    <w:rsid w:val="26210C1E"/>
    <w:rsid w:val="26240577"/>
    <w:rsid w:val="26295FFB"/>
    <w:rsid w:val="264136D1"/>
    <w:rsid w:val="26492CDC"/>
    <w:rsid w:val="26505EEA"/>
    <w:rsid w:val="26522EA8"/>
    <w:rsid w:val="267B5F8E"/>
    <w:rsid w:val="268362C1"/>
    <w:rsid w:val="268705C2"/>
    <w:rsid w:val="26926A95"/>
    <w:rsid w:val="26C4296B"/>
    <w:rsid w:val="26CC0950"/>
    <w:rsid w:val="26D57925"/>
    <w:rsid w:val="26EE4AEF"/>
    <w:rsid w:val="27066912"/>
    <w:rsid w:val="270E63AA"/>
    <w:rsid w:val="27152DC8"/>
    <w:rsid w:val="271B4D43"/>
    <w:rsid w:val="273B4BEE"/>
    <w:rsid w:val="27435A51"/>
    <w:rsid w:val="27482BFF"/>
    <w:rsid w:val="278C7E70"/>
    <w:rsid w:val="27AF38A8"/>
    <w:rsid w:val="27CE703E"/>
    <w:rsid w:val="27D8263D"/>
    <w:rsid w:val="27D85BC0"/>
    <w:rsid w:val="27DD4B45"/>
    <w:rsid w:val="28164551"/>
    <w:rsid w:val="28204972"/>
    <w:rsid w:val="283418DA"/>
    <w:rsid w:val="2846681B"/>
    <w:rsid w:val="28651E7E"/>
    <w:rsid w:val="28A43E8F"/>
    <w:rsid w:val="28B43155"/>
    <w:rsid w:val="28F042F6"/>
    <w:rsid w:val="28FE6A4D"/>
    <w:rsid w:val="28FF44CE"/>
    <w:rsid w:val="29170CD9"/>
    <w:rsid w:val="29235B3A"/>
    <w:rsid w:val="2943504D"/>
    <w:rsid w:val="29710F8A"/>
    <w:rsid w:val="29741F0F"/>
    <w:rsid w:val="299F2DF9"/>
    <w:rsid w:val="29BB2683"/>
    <w:rsid w:val="29C9741A"/>
    <w:rsid w:val="29D3655E"/>
    <w:rsid w:val="29D4102F"/>
    <w:rsid w:val="29D659C5"/>
    <w:rsid w:val="29FB0EEE"/>
    <w:rsid w:val="2A0A5C85"/>
    <w:rsid w:val="2A144016"/>
    <w:rsid w:val="2A1C09AE"/>
    <w:rsid w:val="2A2778DC"/>
    <w:rsid w:val="2A2D4F40"/>
    <w:rsid w:val="2A4028DC"/>
    <w:rsid w:val="2A4525E7"/>
    <w:rsid w:val="2A4931EC"/>
    <w:rsid w:val="2A5063FA"/>
    <w:rsid w:val="2A693A20"/>
    <w:rsid w:val="2A84206C"/>
    <w:rsid w:val="2A930DCD"/>
    <w:rsid w:val="2A950493"/>
    <w:rsid w:val="2A9C3B5D"/>
    <w:rsid w:val="2AAC0265"/>
    <w:rsid w:val="2ABC498E"/>
    <w:rsid w:val="2ADD329F"/>
    <w:rsid w:val="2AE87B84"/>
    <w:rsid w:val="2AF040CB"/>
    <w:rsid w:val="2AF43A06"/>
    <w:rsid w:val="2AF43EF4"/>
    <w:rsid w:val="2AFF73A3"/>
    <w:rsid w:val="2B065545"/>
    <w:rsid w:val="2B295D8C"/>
    <w:rsid w:val="2B48310F"/>
    <w:rsid w:val="2B5613E8"/>
    <w:rsid w:val="2B615665"/>
    <w:rsid w:val="2B6371BC"/>
    <w:rsid w:val="2BA95732"/>
    <w:rsid w:val="2BBC30CD"/>
    <w:rsid w:val="2BC74CE2"/>
    <w:rsid w:val="2BCC505D"/>
    <w:rsid w:val="2BE27A8A"/>
    <w:rsid w:val="2C023E66"/>
    <w:rsid w:val="2C0C5343"/>
    <w:rsid w:val="2C1007F2"/>
    <w:rsid w:val="2C3907B8"/>
    <w:rsid w:val="2C393974"/>
    <w:rsid w:val="2C5D2C57"/>
    <w:rsid w:val="2C7212B2"/>
    <w:rsid w:val="2C7A76C0"/>
    <w:rsid w:val="2C7C70D5"/>
    <w:rsid w:val="2CA31EEA"/>
    <w:rsid w:val="2CB16305"/>
    <w:rsid w:val="2CBE047B"/>
    <w:rsid w:val="2CD933DA"/>
    <w:rsid w:val="2CEA02BC"/>
    <w:rsid w:val="2CFF0262"/>
    <w:rsid w:val="2D1E783E"/>
    <w:rsid w:val="2D290148"/>
    <w:rsid w:val="2D2C202A"/>
    <w:rsid w:val="2D3319B5"/>
    <w:rsid w:val="2D4B3F2E"/>
    <w:rsid w:val="2D4C61E9"/>
    <w:rsid w:val="2D511C5B"/>
    <w:rsid w:val="2D5D05FB"/>
    <w:rsid w:val="2D734A3C"/>
    <w:rsid w:val="2D7F6F76"/>
    <w:rsid w:val="2D8A43D9"/>
    <w:rsid w:val="2D974F5D"/>
    <w:rsid w:val="2DA72A14"/>
    <w:rsid w:val="2DB46A8B"/>
    <w:rsid w:val="2DD97BC5"/>
    <w:rsid w:val="2DDF2633"/>
    <w:rsid w:val="2DFC4EBE"/>
    <w:rsid w:val="2E11065B"/>
    <w:rsid w:val="2E1F0819"/>
    <w:rsid w:val="2E361093"/>
    <w:rsid w:val="2E5F231B"/>
    <w:rsid w:val="2E680171"/>
    <w:rsid w:val="2E766B49"/>
    <w:rsid w:val="2E811350"/>
    <w:rsid w:val="2EAB4EF9"/>
    <w:rsid w:val="2EB8037B"/>
    <w:rsid w:val="2ED53072"/>
    <w:rsid w:val="2ED578D6"/>
    <w:rsid w:val="2EE90B2A"/>
    <w:rsid w:val="2EFB6DA3"/>
    <w:rsid w:val="2F086A5B"/>
    <w:rsid w:val="2F2A406E"/>
    <w:rsid w:val="2F357E81"/>
    <w:rsid w:val="2F437197"/>
    <w:rsid w:val="2F6011C4"/>
    <w:rsid w:val="2F7B0865"/>
    <w:rsid w:val="2F824BFB"/>
    <w:rsid w:val="2F8D13DF"/>
    <w:rsid w:val="2F90750B"/>
    <w:rsid w:val="2F9846A2"/>
    <w:rsid w:val="2FA362B7"/>
    <w:rsid w:val="2FB05DB2"/>
    <w:rsid w:val="2FC32F68"/>
    <w:rsid w:val="2FE53B32"/>
    <w:rsid w:val="2FE85162"/>
    <w:rsid w:val="2FFB1A6A"/>
    <w:rsid w:val="30270E02"/>
    <w:rsid w:val="30370D29"/>
    <w:rsid w:val="306730ED"/>
    <w:rsid w:val="307149C9"/>
    <w:rsid w:val="308A2D31"/>
    <w:rsid w:val="308E71B9"/>
    <w:rsid w:val="309E19D2"/>
    <w:rsid w:val="30F009F7"/>
    <w:rsid w:val="310314D0"/>
    <w:rsid w:val="311B5793"/>
    <w:rsid w:val="31253DE5"/>
    <w:rsid w:val="313534E4"/>
    <w:rsid w:val="313E7737"/>
    <w:rsid w:val="31744B04"/>
    <w:rsid w:val="318A5C8E"/>
    <w:rsid w:val="319E1574"/>
    <w:rsid w:val="31BE3F1D"/>
    <w:rsid w:val="31CD416C"/>
    <w:rsid w:val="31D077C5"/>
    <w:rsid w:val="31DA2397"/>
    <w:rsid w:val="31E77834"/>
    <w:rsid w:val="31EE25F8"/>
    <w:rsid w:val="31F9551F"/>
    <w:rsid w:val="31FC65C4"/>
    <w:rsid w:val="321C1E43"/>
    <w:rsid w:val="322275CF"/>
    <w:rsid w:val="32265FD5"/>
    <w:rsid w:val="32387F65"/>
    <w:rsid w:val="323B5CA2"/>
    <w:rsid w:val="323D23EA"/>
    <w:rsid w:val="325D388A"/>
    <w:rsid w:val="327B34E1"/>
    <w:rsid w:val="32A66524"/>
    <w:rsid w:val="32A73A7A"/>
    <w:rsid w:val="32B36180"/>
    <w:rsid w:val="32C736B8"/>
    <w:rsid w:val="32D1034A"/>
    <w:rsid w:val="32D44B75"/>
    <w:rsid w:val="32D528F6"/>
    <w:rsid w:val="32F92259"/>
    <w:rsid w:val="33050007"/>
    <w:rsid w:val="33203C6F"/>
    <w:rsid w:val="332D0D86"/>
    <w:rsid w:val="333530C4"/>
    <w:rsid w:val="333A4819"/>
    <w:rsid w:val="334A3280"/>
    <w:rsid w:val="3363332D"/>
    <w:rsid w:val="33875D59"/>
    <w:rsid w:val="338A111E"/>
    <w:rsid w:val="33910AAB"/>
    <w:rsid w:val="33B32549"/>
    <w:rsid w:val="33BF02F5"/>
    <w:rsid w:val="33CC2F7B"/>
    <w:rsid w:val="33DB0B1F"/>
    <w:rsid w:val="33E701B5"/>
    <w:rsid w:val="33F203DA"/>
    <w:rsid w:val="33F66251"/>
    <w:rsid w:val="34137D7F"/>
    <w:rsid w:val="342D5ABF"/>
    <w:rsid w:val="343239E3"/>
    <w:rsid w:val="34445525"/>
    <w:rsid w:val="34463A51"/>
    <w:rsid w:val="34502C51"/>
    <w:rsid w:val="346028C4"/>
    <w:rsid w:val="34A018E8"/>
    <w:rsid w:val="34A054E6"/>
    <w:rsid w:val="34A22009"/>
    <w:rsid w:val="34AA129C"/>
    <w:rsid w:val="34D86B6F"/>
    <w:rsid w:val="351A46E3"/>
    <w:rsid w:val="352217B2"/>
    <w:rsid w:val="352443D9"/>
    <w:rsid w:val="354D5A45"/>
    <w:rsid w:val="35654E87"/>
    <w:rsid w:val="35A26038"/>
    <w:rsid w:val="35B648CD"/>
    <w:rsid w:val="35CD17DB"/>
    <w:rsid w:val="35DF1D74"/>
    <w:rsid w:val="35EF56A7"/>
    <w:rsid w:val="360241D0"/>
    <w:rsid w:val="360F4CE8"/>
    <w:rsid w:val="36334691"/>
    <w:rsid w:val="36407E87"/>
    <w:rsid w:val="365B6F4F"/>
    <w:rsid w:val="365E2A65"/>
    <w:rsid w:val="36620B4E"/>
    <w:rsid w:val="3673029B"/>
    <w:rsid w:val="367B308D"/>
    <w:rsid w:val="367F45F6"/>
    <w:rsid w:val="36891F5E"/>
    <w:rsid w:val="368D390B"/>
    <w:rsid w:val="369860BB"/>
    <w:rsid w:val="36BA2093"/>
    <w:rsid w:val="36BE0F18"/>
    <w:rsid w:val="36C866EF"/>
    <w:rsid w:val="36FA327F"/>
    <w:rsid w:val="37022F00"/>
    <w:rsid w:val="37125486"/>
    <w:rsid w:val="37197AEC"/>
    <w:rsid w:val="372E3495"/>
    <w:rsid w:val="3744398B"/>
    <w:rsid w:val="37482601"/>
    <w:rsid w:val="374952C1"/>
    <w:rsid w:val="37576857"/>
    <w:rsid w:val="37701980"/>
    <w:rsid w:val="37802DC5"/>
    <w:rsid w:val="379D6FCC"/>
    <w:rsid w:val="37A408A5"/>
    <w:rsid w:val="37B41E0D"/>
    <w:rsid w:val="37B46BF1"/>
    <w:rsid w:val="37C44B04"/>
    <w:rsid w:val="37C87E10"/>
    <w:rsid w:val="37D42B23"/>
    <w:rsid w:val="37F863E1"/>
    <w:rsid w:val="37FB2BE8"/>
    <w:rsid w:val="38353807"/>
    <w:rsid w:val="38356245"/>
    <w:rsid w:val="38704DA6"/>
    <w:rsid w:val="38725AAB"/>
    <w:rsid w:val="38777FB4"/>
    <w:rsid w:val="387B0503"/>
    <w:rsid w:val="387D1645"/>
    <w:rsid w:val="38A85B03"/>
    <w:rsid w:val="38DA69D3"/>
    <w:rsid w:val="38E8156C"/>
    <w:rsid w:val="392F1CE1"/>
    <w:rsid w:val="393124F3"/>
    <w:rsid w:val="39376BFA"/>
    <w:rsid w:val="39451DEF"/>
    <w:rsid w:val="39463B04"/>
    <w:rsid w:val="395E25D9"/>
    <w:rsid w:val="3998745F"/>
    <w:rsid w:val="39A66FFB"/>
    <w:rsid w:val="39B478E6"/>
    <w:rsid w:val="39B90520"/>
    <w:rsid w:val="39BA3CAC"/>
    <w:rsid w:val="39C80BDA"/>
    <w:rsid w:val="39CA310C"/>
    <w:rsid w:val="39EC2635"/>
    <w:rsid w:val="3A0C6125"/>
    <w:rsid w:val="3A1309C2"/>
    <w:rsid w:val="3A173B31"/>
    <w:rsid w:val="3A1741DD"/>
    <w:rsid w:val="3A35598B"/>
    <w:rsid w:val="3A46626E"/>
    <w:rsid w:val="3A5B6580"/>
    <w:rsid w:val="3A5D24A2"/>
    <w:rsid w:val="3A5E6B4F"/>
    <w:rsid w:val="3A6C4287"/>
    <w:rsid w:val="3A6F280E"/>
    <w:rsid w:val="3A717D6E"/>
    <w:rsid w:val="3A7E3187"/>
    <w:rsid w:val="3A925BB5"/>
    <w:rsid w:val="3AA7642C"/>
    <w:rsid w:val="3AC455FA"/>
    <w:rsid w:val="3AE94535"/>
    <w:rsid w:val="3AEC50AC"/>
    <w:rsid w:val="3AED5139"/>
    <w:rsid w:val="3B0405E2"/>
    <w:rsid w:val="3B11244F"/>
    <w:rsid w:val="3B297A57"/>
    <w:rsid w:val="3B3D1A41"/>
    <w:rsid w:val="3B425EC8"/>
    <w:rsid w:val="3B471D02"/>
    <w:rsid w:val="3B485A9D"/>
    <w:rsid w:val="3B4C2642"/>
    <w:rsid w:val="3B5E49D2"/>
    <w:rsid w:val="3B605EC0"/>
    <w:rsid w:val="3B7148B6"/>
    <w:rsid w:val="3B747E44"/>
    <w:rsid w:val="3B764418"/>
    <w:rsid w:val="3B963CA8"/>
    <w:rsid w:val="3BA851E3"/>
    <w:rsid w:val="3BD479B6"/>
    <w:rsid w:val="3BF74C54"/>
    <w:rsid w:val="3BFB3002"/>
    <w:rsid w:val="3C137C96"/>
    <w:rsid w:val="3C144D18"/>
    <w:rsid w:val="3C1926A8"/>
    <w:rsid w:val="3C3022CE"/>
    <w:rsid w:val="3C362D74"/>
    <w:rsid w:val="3C587C0F"/>
    <w:rsid w:val="3C5B369D"/>
    <w:rsid w:val="3C5D1DD9"/>
    <w:rsid w:val="3C7F58D0"/>
    <w:rsid w:val="3C9C32CE"/>
    <w:rsid w:val="3CD60BE5"/>
    <w:rsid w:val="3CE54EBA"/>
    <w:rsid w:val="3CEB0E28"/>
    <w:rsid w:val="3CF25B59"/>
    <w:rsid w:val="3D011321"/>
    <w:rsid w:val="3D09328D"/>
    <w:rsid w:val="3D347108"/>
    <w:rsid w:val="3D432DCD"/>
    <w:rsid w:val="3D4338CB"/>
    <w:rsid w:val="3D4C3540"/>
    <w:rsid w:val="3D6E255B"/>
    <w:rsid w:val="3D8B1285"/>
    <w:rsid w:val="3D9060D6"/>
    <w:rsid w:val="3DAB1C72"/>
    <w:rsid w:val="3DB67B4B"/>
    <w:rsid w:val="3DBD54FE"/>
    <w:rsid w:val="3DC50166"/>
    <w:rsid w:val="3DFB0640"/>
    <w:rsid w:val="3DFF1244"/>
    <w:rsid w:val="3E104D62"/>
    <w:rsid w:val="3E2F3C47"/>
    <w:rsid w:val="3E343C9D"/>
    <w:rsid w:val="3E3826A3"/>
    <w:rsid w:val="3E3E34AB"/>
    <w:rsid w:val="3E4E45BF"/>
    <w:rsid w:val="3E5C7D67"/>
    <w:rsid w:val="3E725D00"/>
    <w:rsid w:val="3E781559"/>
    <w:rsid w:val="3EA038EF"/>
    <w:rsid w:val="3EAC4F9B"/>
    <w:rsid w:val="3EBD3CCB"/>
    <w:rsid w:val="3ED731F7"/>
    <w:rsid w:val="3F0B01FB"/>
    <w:rsid w:val="3F144206"/>
    <w:rsid w:val="3F2C09B1"/>
    <w:rsid w:val="3F5C23E9"/>
    <w:rsid w:val="3F605988"/>
    <w:rsid w:val="3F663C97"/>
    <w:rsid w:val="3F7410E3"/>
    <w:rsid w:val="3FA25898"/>
    <w:rsid w:val="3FB3410E"/>
    <w:rsid w:val="3FBA151A"/>
    <w:rsid w:val="3FE05A88"/>
    <w:rsid w:val="3FE334A2"/>
    <w:rsid w:val="3FE727C0"/>
    <w:rsid w:val="3FF9512D"/>
    <w:rsid w:val="400D5119"/>
    <w:rsid w:val="40107DC4"/>
    <w:rsid w:val="401A4DB7"/>
    <w:rsid w:val="401D5D3B"/>
    <w:rsid w:val="402257BC"/>
    <w:rsid w:val="40272C5B"/>
    <w:rsid w:val="403027DE"/>
    <w:rsid w:val="40321280"/>
    <w:rsid w:val="40343568"/>
    <w:rsid w:val="404B47FE"/>
    <w:rsid w:val="406571D2"/>
    <w:rsid w:val="40A07467"/>
    <w:rsid w:val="40AD7A0F"/>
    <w:rsid w:val="40B53D3D"/>
    <w:rsid w:val="40B6083B"/>
    <w:rsid w:val="40D57DED"/>
    <w:rsid w:val="40F45D9F"/>
    <w:rsid w:val="40F92E32"/>
    <w:rsid w:val="40FC0CF2"/>
    <w:rsid w:val="41060E52"/>
    <w:rsid w:val="412906DA"/>
    <w:rsid w:val="41674009"/>
    <w:rsid w:val="41694A56"/>
    <w:rsid w:val="41774C8D"/>
    <w:rsid w:val="4185761F"/>
    <w:rsid w:val="419868AD"/>
    <w:rsid w:val="419B4CF5"/>
    <w:rsid w:val="41A05EB7"/>
    <w:rsid w:val="41B53340"/>
    <w:rsid w:val="41B75F61"/>
    <w:rsid w:val="41C9127A"/>
    <w:rsid w:val="41D43789"/>
    <w:rsid w:val="41EB1305"/>
    <w:rsid w:val="42336445"/>
    <w:rsid w:val="423B7316"/>
    <w:rsid w:val="425F0874"/>
    <w:rsid w:val="42640CC5"/>
    <w:rsid w:val="426C1EA8"/>
    <w:rsid w:val="42760499"/>
    <w:rsid w:val="429B73D4"/>
    <w:rsid w:val="42C1415E"/>
    <w:rsid w:val="42CB2122"/>
    <w:rsid w:val="42CF65A9"/>
    <w:rsid w:val="42D40833"/>
    <w:rsid w:val="42E353D5"/>
    <w:rsid w:val="42F75C15"/>
    <w:rsid w:val="42F9196C"/>
    <w:rsid w:val="42FF5989"/>
    <w:rsid w:val="43017703"/>
    <w:rsid w:val="4324765C"/>
    <w:rsid w:val="433E6B71"/>
    <w:rsid w:val="433F593A"/>
    <w:rsid w:val="434268E8"/>
    <w:rsid w:val="43465A4C"/>
    <w:rsid w:val="435566DC"/>
    <w:rsid w:val="4362139B"/>
    <w:rsid w:val="43621CD6"/>
    <w:rsid w:val="43982048"/>
    <w:rsid w:val="43AC657B"/>
    <w:rsid w:val="43D64D48"/>
    <w:rsid w:val="43DB36F4"/>
    <w:rsid w:val="43E87D2C"/>
    <w:rsid w:val="440E40C0"/>
    <w:rsid w:val="443142E4"/>
    <w:rsid w:val="4442648B"/>
    <w:rsid w:val="444663DC"/>
    <w:rsid w:val="44771FB2"/>
    <w:rsid w:val="44866C90"/>
    <w:rsid w:val="4496231D"/>
    <w:rsid w:val="449E7F2F"/>
    <w:rsid w:val="44BA6822"/>
    <w:rsid w:val="44D66CFF"/>
    <w:rsid w:val="44FA6A22"/>
    <w:rsid w:val="44FB313C"/>
    <w:rsid w:val="451A1577"/>
    <w:rsid w:val="451F3201"/>
    <w:rsid w:val="452C1C8C"/>
    <w:rsid w:val="45330876"/>
    <w:rsid w:val="45396036"/>
    <w:rsid w:val="454F1D48"/>
    <w:rsid w:val="455B1156"/>
    <w:rsid w:val="45616A75"/>
    <w:rsid w:val="457903B4"/>
    <w:rsid w:val="45825893"/>
    <w:rsid w:val="459508FA"/>
    <w:rsid w:val="45E74D31"/>
    <w:rsid w:val="46267925"/>
    <w:rsid w:val="4629110B"/>
    <w:rsid w:val="465159CC"/>
    <w:rsid w:val="46603AD2"/>
    <w:rsid w:val="467354EE"/>
    <w:rsid w:val="467F5A35"/>
    <w:rsid w:val="46945684"/>
    <w:rsid w:val="46A54D20"/>
    <w:rsid w:val="46CE1038"/>
    <w:rsid w:val="46D17C44"/>
    <w:rsid w:val="47107740"/>
    <w:rsid w:val="47327E1C"/>
    <w:rsid w:val="47394A4E"/>
    <w:rsid w:val="4741387D"/>
    <w:rsid w:val="47421CEB"/>
    <w:rsid w:val="47496783"/>
    <w:rsid w:val="474B1C86"/>
    <w:rsid w:val="476E56BE"/>
    <w:rsid w:val="478552E3"/>
    <w:rsid w:val="47912CAD"/>
    <w:rsid w:val="479C1380"/>
    <w:rsid w:val="47DF46F8"/>
    <w:rsid w:val="47F75622"/>
    <w:rsid w:val="480F3C80"/>
    <w:rsid w:val="48226466"/>
    <w:rsid w:val="486149D1"/>
    <w:rsid w:val="48710218"/>
    <w:rsid w:val="4879708B"/>
    <w:rsid w:val="487E214D"/>
    <w:rsid w:val="4882192A"/>
    <w:rsid w:val="48880343"/>
    <w:rsid w:val="48AC1250"/>
    <w:rsid w:val="48DB6907"/>
    <w:rsid w:val="48E076C9"/>
    <w:rsid w:val="48E155A0"/>
    <w:rsid w:val="48E40723"/>
    <w:rsid w:val="48EB53A0"/>
    <w:rsid w:val="48FB3BCB"/>
    <w:rsid w:val="48FD27CD"/>
    <w:rsid w:val="49015AD4"/>
    <w:rsid w:val="4917550E"/>
    <w:rsid w:val="494A71CD"/>
    <w:rsid w:val="49726F4F"/>
    <w:rsid w:val="497A4F52"/>
    <w:rsid w:val="497D2E9F"/>
    <w:rsid w:val="4989523E"/>
    <w:rsid w:val="499814CB"/>
    <w:rsid w:val="4999531C"/>
    <w:rsid w:val="49AD3738"/>
    <w:rsid w:val="49C73A27"/>
    <w:rsid w:val="49CD639A"/>
    <w:rsid w:val="49EA0EE9"/>
    <w:rsid w:val="49EB5173"/>
    <w:rsid w:val="49FE24F4"/>
    <w:rsid w:val="4A0253E3"/>
    <w:rsid w:val="4A096307"/>
    <w:rsid w:val="4A167610"/>
    <w:rsid w:val="4A1A034A"/>
    <w:rsid w:val="4A2758B7"/>
    <w:rsid w:val="4A4731BF"/>
    <w:rsid w:val="4A631BA6"/>
    <w:rsid w:val="4A6A177C"/>
    <w:rsid w:val="4A6D27A8"/>
    <w:rsid w:val="4A706FB0"/>
    <w:rsid w:val="4AAB008E"/>
    <w:rsid w:val="4AC32C47"/>
    <w:rsid w:val="4ACC2010"/>
    <w:rsid w:val="4AE228A1"/>
    <w:rsid w:val="4AF403AA"/>
    <w:rsid w:val="4AF92A09"/>
    <w:rsid w:val="4AF96D7B"/>
    <w:rsid w:val="4B2A63DE"/>
    <w:rsid w:val="4B2D6177"/>
    <w:rsid w:val="4B34077F"/>
    <w:rsid w:val="4B4834B2"/>
    <w:rsid w:val="4B6068B8"/>
    <w:rsid w:val="4B637BDF"/>
    <w:rsid w:val="4B8F3B84"/>
    <w:rsid w:val="4BA22AF7"/>
    <w:rsid w:val="4BA402A6"/>
    <w:rsid w:val="4BB61845"/>
    <w:rsid w:val="4BD63E74"/>
    <w:rsid w:val="4BD76EF4"/>
    <w:rsid w:val="4BEA737D"/>
    <w:rsid w:val="4BF0215C"/>
    <w:rsid w:val="4BF327E2"/>
    <w:rsid w:val="4C0E1539"/>
    <w:rsid w:val="4C0F1752"/>
    <w:rsid w:val="4C147660"/>
    <w:rsid w:val="4C303A2A"/>
    <w:rsid w:val="4C3679AD"/>
    <w:rsid w:val="4C455C43"/>
    <w:rsid w:val="4C4D37E0"/>
    <w:rsid w:val="4C524C2F"/>
    <w:rsid w:val="4C803267"/>
    <w:rsid w:val="4C8E3AA7"/>
    <w:rsid w:val="4CAF644E"/>
    <w:rsid w:val="4CBC32F1"/>
    <w:rsid w:val="4CCC6E0F"/>
    <w:rsid w:val="4CF37F08"/>
    <w:rsid w:val="4D0D0410"/>
    <w:rsid w:val="4D2C6548"/>
    <w:rsid w:val="4D2F6B38"/>
    <w:rsid w:val="4D472ED5"/>
    <w:rsid w:val="4D476508"/>
    <w:rsid w:val="4D9877DD"/>
    <w:rsid w:val="4D9A4717"/>
    <w:rsid w:val="4D9A6EC4"/>
    <w:rsid w:val="4DBD1158"/>
    <w:rsid w:val="4DCA28A4"/>
    <w:rsid w:val="4DCC25F1"/>
    <w:rsid w:val="4DCF2FAE"/>
    <w:rsid w:val="4DE72DDF"/>
    <w:rsid w:val="4DF52DA3"/>
    <w:rsid w:val="4DF61D74"/>
    <w:rsid w:val="4DFC16FF"/>
    <w:rsid w:val="4E0B1D1A"/>
    <w:rsid w:val="4E0F5EDC"/>
    <w:rsid w:val="4E202BB9"/>
    <w:rsid w:val="4E593A09"/>
    <w:rsid w:val="4E87050B"/>
    <w:rsid w:val="4E8D0FEE"/>
    <w:rsid w:val="4E9C0BC5"/>
    <w:rsid w:val="4EAE2AF7"/>
    <w:rsid w:val="4ECD1DD8"/>
    <w:rsid w:val="4EF84E1A"/>
    <w:rsid w:val="4EF9611F"/>
    <w:rsid w:val="4F0C554D"/>
    <w:rsid w:val="4F243965"/>
    <w:rsid w:val="4F2A7645"/>
    <w:rsid w:val="4F2D6C3E"/>
    <w:rsid w:val="4F2F1620"/>
    <w:rsid w:val="4F317D35"/>
    <w:rsid w:val="4F3A498A"/>
    <w:rsid w:val="4F4A131D"/>
    <w:rsid w:val="4F5D74BC"/>
    <w:rsid w:val="4F691C56"/>
    <w:rsid w:val="4F810626"/>
    <w:rsid w:val="4F847B89"/>
    <w:rsid w:val="4F92089C"/>
    <w:rsid w:val="4FC17652"/>
    <w:rsid w:val="4FE0099B"/>
    <w:rsid w:val="4FFB7551"/>
    <w:rsid w:val="501A73E7"/>
    <w:rsid w:val="50225A3D"/>
    <w:rsid w:val="50280D8F"/>
    <w:rsid w:val="50303C1D"/>
    <w:rsid w:val="50342842"/>
    <w:rsid w:val="5051614E"/>
    <w:rsid w:val="50564A6E"/>
    <w:rsid w:val="506378EF"/>
    <w:rsid w:val="50776590"/>
    <w:rsid w:val="50861C6B"/>
    <w:rsid w:val="508D10CE"/>
    <w:rsid w:val="508D19BD"/>
    <w:rsid w:val="508F539B"/>
    <w:rsid w:val="50916A5B"/>
    <w:rsid w:val="50972234"/>
    <w:rsid w:val="50C541CF"/>
    <w:rsid w:val="50CE6F9F"/>
    <w:rsid w:val="50D11434"/>
    <w:rsid w:val="50E73672"/>
    <w:rsid w:val="511030CC"/>
    <w:rsid w:val="511F408A"/>
    <w:rsid w:val="5134341B"/>
    <w:rsid w:val="513C1084"/>
    <w:rsid w:val="514F70CF"/>
    <w:rsid w:val="51635294"/>
    <w:rsid w:val="51652390"/>
    <w:rsid w:val="51656440"/>
    <w:rsid w:val="51726460"/>
    <w:rsid w:val="51933865"/>
    <w:rsid w:val="51A22282"/>
    <w:rsid w:val="51B8499E"/>
    <w:rsid w:val="51C37D85"/>
    <w:rsid w:val="51C54122"/>
    <w:rsid w:val="51D82CD4"/>
    <w:rsid w:val="51E91D98"/>
    <w:rsid w:val="52016097"/>
    <w:rsid w:val="52083889"/>
    <w:rsid w:val="523B502D"/>
    <w:rsid w:val="523D0C8A"/>
    <w:rsid w:val="52440CB0"/>
    <w:rsid w:val="52481D3D"/>
    <w:rsid w:val="52630513"/>
    <w:rsid w:val="528F4A01"/>
    <w:rsid w:val="529C282C"/>
    <w:rsid w:val="529C7DFC"/>
    <w:rsid w:val="529E1798"/>
    <w:rsid w:val="52A56BA5"/>
    <w:rsid w:val="52AB0AAE"/>
    <w:rsid w:val="52B87DC4"/>
    <w:rsid w:val="52E2054F"/>
    <w:rsid w:val="52EC506B"/>
    <w:rsid w:val="52F3554A"/>
    <w:rsid w:val="52F421A7"/>
    <w:rsid w:val="5310069C"/>
    <w:rsid w:val="53101579"/>
    <w:rsid w:val="531F686F"/>
    <w:rsid w:val="532042F0"/>
    <w:rsid w:val="53434506"/>
    <w:rsid w:val="53446786"/>
    <w:rsid w:val="5347445F"/>
    <w:rsid w:val="537E6888"/>
    <w:rsid w:val="538A5297"/>
    <w:rsid w:val="538C5511"/>
    <w:rsid w:val="53934916"/>
    <w:rsid w:val="53A56748"/>
    <w:rsid w:val="53AB0651"/>
    <w:rsid w:val="53AF28DA"/>
    <w:rsid w:val="53BC636D"/>
    <w:rsid w:val="53C863F2"/>
    <w:rsid w:val="53EE4E13"/>
    <w:rsid w:val="53F342C8"/>
    <w:rsid w:val="53F41520"/>
    <w:rsid w:val="53FF00DB"/>
    <w:rsid w:val="544508EC"/>
    <w:rsid w:val="544D14DF"/>
    <w:rsid w:val="544E01F0"/>
    <w:rsid w:val="54595F7A"/>
    <w:rsid w:val="54643811"/>
    <w:rsid w:val="54723C7D"/>
    <w:rsid w:val="549A60AE"/>
    <w:rsid w:val="54A6749B"/>
    <w:rsid w:val="54AA48B9"/>
    <w:rsid w:val="54C379E3"/>
    <w:rsid w:val="54F326AE"/>
    <w:rsid w:val="54F41600"/>
    <w:rsid w:val="55052AD1"/>
    <w:rsid w:val="550A5C7C"/>
    <w:rsid w:val="55100ADD"/>
    <w:rsid w:val="552859D4"/>
    <w:rsid w:val="553A1575"/>
    <w:rsid w:val="554A487A"/>
    <w:rsid w:val="554F6B7B"/>
    <w:rsid w:val="5553766F"/>
    <w:rsid w:val="557D6795"/>
    <w:rsid w:val="558318CB"/>
    <w:rsid w:val="55BD5384"/>
    <w:rsid w:val="55EE2EA8"/>
    <w:rsid w:val="55FC5E1B"/>
    <w:rsid w:val="560C1FF7"/>
    <w:rsid w:val="56144228"/>
    <w:rsid w:val="56241FDF"/>
    <w:rsid w:val="562E4D5B"/>
    <w:rsid w:val="565902BA"/>
    <w:rsid w:val="565F3DA6"/>
    <w:rsid w:val="56635347"/>
    <w:rsid w:val="56723AD9"/>
    <w:rsid w:val="56731A93"/>
    <w:rsid w:val="568F294C"/>
    <w:rsid w:val="56955A19"/>
    <w:rsid w:val="569C67A5"/>
    <w:rsid w:val="56AD2973"/>
    <w:rsid w:val="56B011F9"/>
    <w:rsid w:val="56E6209D"/>
    <w:rsid w:val="56E733A1"/>
    <w:rsid w:val="56EA7B13"/>
    <w:rsid w:val="56F14DBD"/>
    <w:rsid w:val="570A485B"/>
    <w:rsid w:val="57111D6F"/>
    <w:rsid w:val="571C7097"/>
    <w:rsid w:val="573619C6"/>
    <w:rsid w:val="57492455"/>
    <w:rsid w:val="57560A8B"/>
    <w:rsid w:val="576B0496"/>
    <w:rsid w:val="576F4DA5"/>
    <w:rsid w:val="577D2735"/>
    <w:rsid w:val="578A6974"/>
    <w:rsid w:val="57A31556"/>
    <w:rsid w:val="57B936FA"/>
    <w:rsid w:val="57BF5FD4"/>
    <w:rsid w:val="57C31A8B"/>
    <w:rsid w:val="57D93826"/>
    <w:rsid w:val="57E4547F"/>
    <w:rsid w:val="58083479"/>
    <w:rsid w:val="58160494"/>
    <w:rsid w:val="58242DA9"/>
    <w:rsid w:val="583439C3"/>
    <w:rsid w:val="58392D3C"/>
    <w:rsid w:val="58495567"/>
    <w:rsid w:val="584C4158"/>
    <w:rsid w:val="5854203E"/>
    <w:rsid w:val="585E3E88"/>
    <w:rsid w:val="58661886"/>
    <w:rsid w:val="58761A4F"/>
    <w:rsid w:val="587B1239"/>
    <w:rsid w:val="589866DF"/>
    <w:rsid w:val="58A67D4C"/>
    <w:rsid w:val="58A91C4D"/>
    <w:rsid w:val="58AE4F0C"/>
    <w:rsid w:val="58BB67A0"/>
    <w:rsid w:val="58DE44BF"/>
    <w:rsid w:val="58F05975"/>
    <w:rsid w:val="590B144F"/>
    <w:rsid w:val="590D65AA"/>
    <w:rsid w:val="59163865"/>
    <w:rsid w:val="592B2698"/>
    <w:rsid w:val="59473FB6"/>
    <w:rsid w:val="594B1696"/>
    <w:rsid w:val="595A56A0"/>
    <w:rsid w:val="59685F8C"/>
    <w:rsid w:val="59723DF0"/>
    <w:rsid w:val="598439D7"/>
    <w:rsid w:val="599F5B19"/>
    <w:rsid w:val="59A97480"/>
    <w:rsid w:val="59B9352D"/>
    <w:rsid w:val="59C21C97"/>
    <w:rsid w:val="59D61F0E"/>
    <w:rsid w:val="59E2024B"/>
    <w:rsid w:val="59F3528E"/>
    <w:rsid w:val="5A02058E"/>
    <w:rsid w:val="5A04583D"/>
    <w:rsid w:val="5A4E5CBD"/>
    <w:rsid w:val="5A5508D7"/>
    <w:rsid w:val="5A6F6621"/>
    <w:rsid w:val="5A76409B"/>
    <w:rsid w:val="5A82610B"/>
    <w:rsid w:val="5A972107"/>
    <w:rsid w:val="5AC67AF9"/>
    <w:rsid w:val="5ACF50C8"/>
    <w:rsid w:val="5AE81333"/>
    <w:rsid w:val="5AF95C18"/>
    <w:rsid w:val="5AFC1BC3"/>
    <w:rsid w:val="5B081542"/>
    <w:rsid w:val="5B096777"/>
    <w:rsid w:val="5B14010B"/>
    <w:rsid w:val="5B1F2BC6"/>
    <w:rsid w:val="5B212792"/>
    <w:rsid w:val="5B3B6561"/>
    <w:rsid w:val="5B4724D7"/>
    <w:rsid w:val="5B49484F"/>
    <w:rsid w:val="5B5B054B"/>
    <w:rsid w:val="5B6B2007"/>
    <w:rsid w:val="5B761E9C"/>
    <w:rsid w:val="5B77791D"/>
    <w:rsid w:val="5B7F1D2C"/>
    <w:rsid w:val="5B926F50"/>
    <w:rsid w:val="5B93080E"/>
    <w:rsid w:val="5BF71D4A"/>
    <w:rsid w:val="5C114298"/>
    <w:rsid w:val="5C14521D"/>
    <w:rsid w:val="5C216AB1"/>
    <w:rsid w:val="5C2C0286"/>
    <w:rsid w:val="5C2F70CC"/>
    <w:rsid w:val="5C3D06E5"/>
    <w:rsid w:val="5C3F1DF9"/>
    <w:rsid w:val="5C472574"/>
    <w:rsid w:val="5C675762"/>
    <w:rsid w:val="5C8D5EBD"/>
    <w:rsid w:val="5C983278"/>
    <w:rsid w:val="5CA33EE6"/>
    <w:rsid w:val="5CA81314"/>
    <w:rsid w:val="5CB3547B"/>
    <w:rsid w:val="5CC21EBE"/>
    <w:rsid w:val="5CE7687A"/>
    <w:rsid w:val="5CFD44CE"/>
    <w:rsid w:val="5D120A4A"/>
    <w:rsid w:val="5D141819"/>
    <w:rsid w:val="5D3A07F2"/>
    <w:rsid w:val="5D4C371E"/>
    <w:rsid w:val="5D4C4020"/>
    <w:rsid w:val="5D5C1689"/>
    <w:rsid w:val="5D614AA8"/>
    <w:rsid w:val="5D727FC7"/>
    <w:rsid w:val="5D790367"/>
    <w:rsid w:val="5D8B54B1"/>
    <w:rsid w:val="5D975D0D"/>
    <w:rsid w:val="5DA546AF"/>
    <w:rsid w:val="5DAE04A1"/>
    <w:rsid w:val="5DB14F7B"/>
    <w:rsid w:val="5DB67DBF"/>
    <w:rsid w:val="5DBC03E8"/>
    <w:rsid w:val="5DC333E6"/>
    <w:rsid w:val="5DD54ACD"/>
    <w:rsid w:val="5DD63F84"/>
    <w:rsid w:val="5DE046B7"/>
    <w:rsid w:val="5E17116A"/>
    <w:rsid w:val="5E32585B"/>
    <w:rsid w:val="5E6721EE"/>
    <w:rsid w:val="5E7B340D"/>
    <w:rsid w:val="5E8C404D"/>
    <w:rsid w:val="5E9268B6"/>
    <w:rsid w:val="5E98780D"/>
    <w:rsid w:val="5E9C324C"/>
    <w:rsid w:val="5EAB79F2"/>
    <w:rsid w:val="5EB21369"/>
    <w:rsid w:val="5EBF067F"/>
    <w:rsid w:val="5EC72ACE"/>
    <w:rsid w:val="5ECF54EF"/>
    <w:rsid w:val="5ED14B56"/>
    <w:rsid w:val="5EE60976"/>
    <w:rsid w:val="5F014CC3"/>
    <w:rsid w:val="5F015EC1"/>
    <w:rsid w:val="5F02451D"/>
    <w:rsid w:val="5F2D1061"/>
    <w:rsid w:val="5F561E77"/>
    <w:rsid w:val="5F7858AF"/>
    <w:rsid w:val="5F813E31"/>
    <w:rsid w:val="5F9E5602"/>
    <w:rsid w:val="5FBB33CB"/>
    <w:rsid w:val="5FD6750E"/>
    <w:rsid w:val="5FE054D2"/>
    <w:rsid w:val="5FF97ADA"/>
    <w:rsid w:val="60037A11"/>
    <w:rsid w:val="60196D73"/>
    <w:rsid w:val="602821CF"/>
    <w:rsid w:val="60370FC0"/>
    <w:rsid w:val="604D26C1"/>
    <w:rsid w:val="60523013"/>
    <w:rsid w:val="606751B5"/>
    <w:rsid w:val="607B41D8"/>
    <w:rsid w:val="60901CC8"/>
    <w:rsid w:val="60AA20C1"/>
    <w:rsid w:val="60B17D23"/>
    <w:rsid w:val="60C35827"/>
    <w:rsid w:val="60E3534B"/>
    <w:rsid w:val="61063DBC"/>
    <w:rsid w:val="610F24CD"/>
    <w:rsid w:val="6124336C"/>
    <w:rsid w:val="6148180F"/>
    <w:rsid w:val="6161547F"/>
    <w:rsid w:val="61640AD8"/>
    <w:rsid w:val="616C5D00"/>
    <w:rsid w:val="618A6593"/>
    <w:rsid w:val="618D7518"/>
    <w:rsid w:val="61B31E2C"/>
    <w:rsid w:val="61D04B09"/>
    <w:rsid w:val="61D5318F"/>
    <w:rsid w:val="620B3669"/>
    <w:rsid w:val="620F67EC"/>
    <w:rsid w:val="621619FB"/>
    <w:rsid w:val="622B4180"/>
    <w:rsid w:val="622E68B7"/>
    <w:rsid w:val="62416092"/>
    <w:rsid w:val="62441245"/>
    <w:rsid w:val="62467FCB"/>
    <w:rsid w:val="625C0DF6"/>
    <w:rsid w:val="627001BA"/>
    <w:rsid w:val="62704A45"/>
    <w:rsid w:val="627B71A0"/>
    <w:rsid w:val="629531A7"/>
    <w:rsid w:val="62A115DE"/>
    <w:rsid w:val="62B11376"/>
    <w:rsid w:val="62B56ACB"/>
    <w:rsid w:val="62C21944"/>
    <w:rsid w:val="62CA25A7"/>
    <w:rsid w:val="62CD4107"/>
    <w:rsid w:val="62CE7985"/>
    <w:rsid w:val="62D83CB7"/>
    <w:rsid w:val="62D92B5D"/>
    <w:rsid w:val="62E15649"/>
    <w:rsid w:val="62FB6CDD"/>
    <w:rsid w:val="63053144"/>
    <w:rsid w:val="63495565"/>
    <w:rsid w:val="635165CB"/>
    <w:rsid w:val="63615A0A"/>
    <w:rsid w:val="6387542A"/>
    <w:rsid w:val="63B84F56"/>
    <w:rsid w:val="63C24F39"/>
    <w:rsid w:val="63FD0DA3"/>
    <w:rsid w:val="64263A1C"/>
    <w:rsid w:val="64374EF8"/>
    <w:rsid w:val="6444420E"/>
    <w:rsid w:val="64444DDF"/>
    <w:rsid w:val="645B56F0"/>
    <w:rsid w:val="646F08D5"/>
    <w:rsid w:val="64827BC4"/>
    <w:rsid w:val="648C4EA5"/>
    <w:rsid w:val="64974244"/>
    <w:rsid w:val="64A27E2A"/>
    <w:rsid w:val="64AA3C02"/>
    <w:rsid w:val="64AF5DE8"/>
    <w:rsid w:val="64B31CAF"/>
    <w:rsid w:val="64B97A50"/>
    <w:rsid w:val="64C21846"/>
    <w:rsid w:val="64C2705A"/>
    <w:rsid w:val="64D427F8"/>
    <w:rsid w:val="64DA3F5C"/>
    <w:rsid w:val="64DF4D76"/>
    <w:rsid w:val="64E04304"/>
    <w:rsid w:val="64F30EAE"/>
    <w:rsid w:val="650B7121"/>
    <w:rsid w:val="65182BA1"/>
    <w:rsid w:val="65196796"/>
    <w:rsid w:val="652E1C0D"/>
    <w:rsid w:val="65434131"/>
    <w:rsid w:val="654B5E5B"/>
    <w:rsid w:val="6571289C"/>
    <w:rsid w:val="657D3011"/>
    <w:rsid w:val="6587291F"/>
    <w:rsid w:val="659C3CF0"/>
    <w:rsid w:val="65A84285"/>
    <w:rsid w:val="65A84457"/>
    <w:rsid w:val="65B81595"/>
    <w:rsid w:val="65E511F4"/>
    <w:rsid w:val="65E83187"/>
    <w:rsid w:val="65F251CE"/>
    <w:rsid w:val="65FF333C"/>
    <w:rsid w:val="660D267B"/>
    <w:rsid w:val="660D37F9"/>
    <w:rsid w:val="660F3594"/>
    <w:rsid w:val="66283F14"/>
    <w:rsid w:val="662C2DFD"/>
    <w:rsid w:val="662E75B1"/>
    <w:rsid w:val="663C4348"/>
    <w:rsid w:val="66616B07"/>
    <w:rsid w:val="666E039B"/>
    <w:rsid w:val="66747D26"/>
    <w:rsid w:val="668B5A16"/>
    <w:rsid w:val="668E08CF"/>
    <w:rsid w:val="66A94529"/>
    <w:rsid w:val="66B429C1"/>
    <w:rsid w:val="66BE141F"/>
    <w:rsid w:val="66CB3779"/>
    <w:rsid w:val="66CF48EF"/>
    <w:rsid w:val="66D16DBA"/>
    <w:rsid w:val="66F940CB"/>
    <w:rsid w:val="66FE4406"/>
    <w:rsid w:val="67336E5F"/>
    <w:rsid w:val="67367DE4"/>
    <w:rsid w:val="676166A9"/>
    <w:rsid w:val="676F2F5B"/>
    <w:rsid w:val="67706CC4"/>
    <w:rsid w:val="67737C48"/>
    <w:rsid w:val="67841F6B"/>
    <w:rsid w:val="67A55102"/>
    <w:rsid w:val="67AA3F4A"/>
    <w:rsid w:val="67BE346E"/>
    <w:rsid w:val="67D046E3"/>
    <w:rsid w:val="67FA12F7"/>
    <w:rsid w:val="680107B1"/>
    <w:rsid w:val="68153BCE"/>
    <w:rsid w:val="682543C3"/>
    <w:rsid w:val="68351218"/>
    <w:rsid w:val="68403334"/>
    <w:rsid w:val="68511D03"/>
    <w:rsid w:val="685C51A4"/>
    <w:rsid w:val="6862581B"/>
    <w:rsid w:val="687761F1"/>
    <w:rsid w:val="687D1CB4"/>
    <w:rsid w:val="6887648C"/>
    <w:rsid w:val="689457A1"/>
    <w:rsid w:val="68A66D41"/>
    <w:rsid w:val="68DA4C11"/>
    <w:rsid w:val="68EC09BF"/>
    <w:rsid w:val="6916656D"/>
    <w:rsid w:val="69205385"/>
    <w:rsid w:val="692A321E"/>
    <w:rsid w:val="693862AF"/>
    <w:rsid w:val="69407E39"/>
    <w:rsid w:val="69414BC3"/>
    <w:rsid w:val="697002F0"/>
    <w:rsid w:val="69761AA3"/>
    <w:rsid w:val="6983542A"/>
    <w:rsid w:val="698B7EDA"/>
    <w:rsid w:val="6991693E"/>
    <w:rsid w:val="6999782E"/>
    <w:rsid w:val="69AB2326"/>
    <w:rsid w:val="69B37189"/>
    <w:rsid w:val="69D1501E"/>
    <w:rsid w:val="69D17FDB"/>
    <w:rsid w:val="69E64D5D"/>
    <w:rsid w:val="6A3916D5"/>
    <w:rsid w:val="6A441C65"/>
    <w:rsid w:val="6A502E5C"/>
    <w:rsid w:val="6A7420CF"/>
    <w:rsid w:val="6AB50D72"/>
    <w:rsid w:val="6AD959B9"/>
    <w:rsid w:val="6B016D82"/>
    <w:rsid w:val="6B47278C"/>
    <w:rsid w:val="6B4C2497"/>
    <w:rsid w:val="6B531E22"/>
    <w:rsid w:val="6B844E5D"/>
    <w:rsid w:val="6BA37623"/>
    <w:rsid w:val="6BBD1220"/>
    <w:rsid w:val="6BC35959"/>
    <w:rsid w:val="6BC905D3"/>
    <w:rsid w:val="6BCE1BC9"/>
    <w:rsid w:val="6BE73516"/>
    <w:rsid w:val="6BF749E6"/>
    <w:rsid w:val="6C13781A"/>
    <w:rsid w:val="6C2211F6"/>
    <w:rsid w:val="6C2E1DA3"/>
    <w:rsid w:val="6C4A6B37"/>
    <w:rsid w:val="6C6A379A"/>
    <w:rsid w:val="6C7531FE"/>
    <w:rsid w:val="6C75536B"/>
    <w:rsid w:val="6C786381"/>
    <w:rsid w:val="6CD741E8"/>
    <w:rsid w:val="6CEE4BEB"/>
    <w:rsid w:val="6CF21078"/>
    <w:rsid w:val="6CFC695A"/>
    <w:rsid w:val="6D031098"/>
    <w:rsid w:val="6D0625EB"/>
    <w:rsid w:val="6D131E03"/>
    <w:rsid w:val="6D21195D"/>
    <w:rsid w:val="6D366369"/>
    <w:rsid w:val="6D372F2F"/>
    <w:rsid w:val="6D4425D2"/>
    <w:rsid w:val="6D5463E3"/>
    <w:rsid w:val="6D56199F"/>
    <w:rsid w:val="6D612359"/>
    <w:rsid w:val="6D643B74"/>
    <w:rsid w:val="6D6D5995"/>
    <w:rsid w:val="6DA55AEF"/>
    <w:rsid w:val="6DB870C2"/>
    <w:rsid w:val="6DD67943"/>
    <w:rsid w:val="6DE11A7D"/>
    <w:rsid w:val="6DEE4FE9"/>
    <w:rsid w:val="6DF758F9"/>
    <w:rsid w:val="6E0E1B48"/>
    <w:rsid w:val="6E0E1FA0"/>
    <w:rsid w:val="6E1B123D"/>
    <w:rsid w:val="6E4C2E04"/>
    <w:rsid w:val="6E800F31"/>
    <w:rsid w:val="6EAA11A5"/>
    <w:rsid w:val="6ED06E86"/>
    <w:rsid w:val="6EDD48F2"/>
    <w:rsid w:val="6EFE4E26"/>
    <w:rsid w:val="6F08269A"/>
    <w:rsid w:val="6F0D2D96"/>
    <w:rsid w:val="6F134DCC"/>
    <w:rsid w:val="6F2701E9"/>
    <w:rsid w:val="6F3D238D"/>
    <w:rsid w:val="6F4A22C9"/>
    <w:rsid w:val="6F5867BA"/>
    <w:rsid w:val="6F783FDF"/>
    <w:rsid w:val="6F7B7C73"/>
    <w:rsid w:val="6F7D2CA1"/>
    <w:rsid w:val="6F846384"/>
    <w:rsid w:val="6FB767FB"/>
    <w:rsid w:val="6FCC6779"/>
    <w:rsid w:val="6FD36103"/>
    <w:rsid w:val="6FF03D41"/>
    <w:rsid w:val="6FFF2863"/>
    <w:rsid w:val="700916EF"/>
    <w:rsid w:val="700A7EA9"/>
    <w:rsid w:val="701C5306"/>
    <w:rsid w:val="703025A8"/>
    <w:rsid w:val="704509C1"/>
    <w:rsid w:val="704F155E"/>
    <w:rsid w:val="704F6E48"/>
    <w:rsid w:val="70642C7D"/>
    <w:rsid w:val="707E79EA"/>
    <w:rsid w:val="70946786"/>
    <w:rsid w:val="70B11F5D"/>
    <w:rsid w:val="70CA3BF3"/>
    <w:rsid w:val="70D05911"/>
    <w:rsid w:val="70D31FDB"/>
    <w:rsid w:val="71033854"/>
    <w:rsid w:val="71083777"/>
    <w:rsid w:val="710F6395"/>
    <w:rsid w:val="71155D16"/>
    <w:rsid w:val="712F2C30"/>
    <w:rsid w:val="713A4D9B"/>
    <w:rsid w:val="713C664E"/>
    <w:rsid w:val="71726BC2"/>
    <w:rsid w:val="717A29A8"/>
    <w:rsid w:val="717F7444"/>
    <w:rsid w:val="71943B66"/>
    <w:rsid w:val="71995F66"/>
    <w:rsid w:val="71DA42DA"/>
    <w:rsid w:val="72512EF2"/>
    <w:rsid w:val="72587455"/>
    <w:rsid w:val="725A33F9"/>
    <w:rsid w:val="72636FD7"/>
    <w:rsid w:val="72637C66"/>
    <w:rsid w:val="72941D3D"/>
    <w:rsid w:val="72950305"/>
    <w:rsid w:val="72985992"/>
    <w:rsid w:val="729C0B15"/>
    <w:rsid w:val="72A64CA8"/>
    <w:rsid w:val="72CF47E7"/>
    <w:rsid w:val="72D46393"/>
    <w:rsid w:val="72DC7380"/>
    <w:rsid w:val="72F97729"/>
    <w:rsid w:val="72FD19A6"/>
    <w:rsid w:val="73006427"/>
    <w:rsid w:val="73026629"/>
    <w:rsid w:val="730A0FDA"/>
    <w:rsid w:val="733E7D2A"/>
    <w:rsid w:val="73784525"/>
    <w:rsid w:val="73AF6654"/>
    <w:rsid w:val="73CD7F8D"/>
    <w:rsid w:val="73E11809"/>
    <w:rsid w:val="73E17075"/>
    <w:rsid w:val="73FC77D8"/>
    <w:rsid w:val="74112337"/>
    <w:rsid w:val="74314E96"/>
    <w:rsid w:val="74385A05"/>
    <w:rsid w:val="743E1546"/>
    <w:rsid w:val="744101B6"/>
    <w:rsid w:val="744530CF"/>
    <w:rsid w:val="744F6DB0"/>
    <w:rsid w:val="74547E66"/>
    <w:rsid w:val="745F4D60"/>
    <w:rsid w:val="74606D75"/>
    <w:rsid w:val="74750913"/>
    <w:rsid w:val="74D77E17"/>
    <w:rsid w:val="74DE7DCA"/>
    <w:rsid w:val="74EA16B5"/>
    <w:rsid w:val="74EC1F29"/>
    <w:rsid w:val="74F1655B"/>
    <w:rsid w:val="74F23B8E"/>
    <w:rsid w:val="75120E16"/>
    <w:rsid w:val="752949C6"/>
    <w:rsid w:val="7534466A"/>
    <w:rsid w:val="753529D7"/>
    <w:rsid w:val="75437824"/>
    <w:rsid w:val="75506997"/>
    <w:rsid w:val="75514C4B"/>
    <w:rsid w:val="75557D8B"/>
    <w:rsid w:val="7556678F"/>
    <w:rsid w:val="75603230"/>
    <w:rsid w:val="756B0CB3"/>
    <w:rsid w:val="756F34FD"/>
    <w:rsid w:val="75982A7C"/>
    <w:rsid w:val="75A335A6"/>
    <w:rsid w:val="75B3511C"/>
    <w:rsid w:val="75B90A32"/>
    <w:rsid w:val="75B9739F"/>
    <w:rsid w:val="75CC7A53"/>
    <w:rsid w:val="75D27A87"/>
    <w:rsid w:val="76075C35"/>
    <w:rsid w:val="762B56CB"/>
    <w:rsid w:val="762E4274"/>
    <w:rsid w:val="763C54DD"/>
    <w:rsid w:val="7647739D"/>
    <w:rsid w:val="76677D20"/>
    <w:rsid w:val="768676A8"/>
    <w:rsid w:val="7696711C"/>
    <w:rsid w:val="76B834E6"/>
    <w:rsid w:val="76B850D2"/>
    <w:rsid w:val="76DD5674"/>
    <w:rsid w:val="76ED456A"/>
    <w:rsid w:val="771173B8"/>
    <w:rsid w:val="77275DC2"/>
    <w:rsid w:val="77276A0B"/>
    <w:rsid w:val="772F59C1"/>
    <w:rsid w:val="77371C1F"/>
    <w:rsid w:val="77380EA3"/>
    <w:rsid w:val="774F2792"/>
    <w:rsid w:val="77513D79"/>
    <w:rsid w:val="77637460"/>
    <w:rsid w:val="77694EF6"/>
    <w:rsid w:val="77974740"/>
    <w:rsid w:val="77A26354"/>
    <w:rsid w:val="77C94169"/>
    <w:rsid w:val="77D45F4A"/>
    <w:rsid w:val="77F064C5"/>
    <w:rsid w:val="7804209D"/>
    <w:rsid w:val="78096FFD"/>
    <w:rsid w:val="78232A2D"/>
    <w:rsid w:val="78505A11"/>
    <w:rsid w:val="785C257D"/>
    <w:rsid w:val="786F69A2"/>
    <w:rsid w:val="789101DB"/>
    <w:rsid w:val="78975968"/>
    <w:rsid w:val="78B6167E"/>
    <w:rsid w:val="78CC6D3B"/>
    <w:rsid w:val="78CD25BE"/>
    <w:rsid w:val="78DC699B"/>
    <w:rsid w:val="78E310F6"/>
    <w:rsid w:val="78E656E7"/>
    <w:rsid w:val="78F7499B"/>
    <w:rsid w:val="79074111"/>
    <w:rsid w:val="79292CB7"/>
    <w:rsid w:val="79305A30"/>
    <w:rsid w:val="7936673D"/>
    <w:rsid w:val="793765BF"/>
    <w:rsid w:val="79494365"/>
    <w:rsid w:val="795456E5"/>
    <w:rsid w:val="795D1EAD"/>
    <w:rsid w:val="79653A37"/>
    <w:rsid w:val="79996828"/>
    <w:rsid w:val="79AF2BB1"/>
    <w:rsid w:val="79D62A71"/>
    <w:rsid w:val="79DE7E7D"/>
    <w:rsid w:val="79F458A4"/>
    <w:rsid w:val="7A2E6A50"/>
    <w:rsid w:val="7A377612"/>
    <w:rsid w:val="7A435623"/>
    <w:rsid w:val="7A542A9A"/>
    <w:rsid w:val="7A6300D6"/>
    <w:rsid w:val="7A645B58"/>
    <w:rsid w:val="7A6F61AA"/>
    <w:rsid w:val="7A6F7B00"/>
    <w:rsid w:val="7A943D7D"/>
    <w:rsid w:val="7AAB0646"/>
    <w:rsid w:val="7AEF6BF7"/>
    <w:rsid w:val="7AF43248"/>
    <w:rsid w:val="7B261499"/>
    <w:rsid w:val="7B36052E"/>
    <w:rsid w:val="7BA10DE3"/>
    <w:rsid w:val="7BD03DEF"/>
    <w:rsid w:val="7BFA6EF3"/>
    <w:rsid w:val="7C186D38"/>
    <w:rsid w:val="7C214BB4"/>
    <w:rsid w:val="7C341A17"/>
    <w:rsid w:val="7C602580"/>
    <w:rsid w:val="7C8932DF"/>
    <w:rsid w:val="7CA4518D"/>
    <w:rsid w:val="7CAE5A9D"/>
    <w:rsid w:val="7CB8666E"/>
    <w:rsid w:val="7CD84406"/>
    <w:rsid w:val="7CF42F0C"/>
    <w:rsid w:val="7CF433EE"/>
    <w:rsid w:val="7D0C0A6E"/>
    <w:rsid w:val="7D25327D"/>
    <w:rsid w:val="7D607ABF"/>
    <w:rsid w:val="7D713C3B"/>
    <w:rsid w:val="7D9E75A3"/>
    <w:rsid w:val="7DB904C2"/>
    <w:rsid w:val="7DBB2757"/>
    <w:rsid w:val="7DCD5EF4"/>
    <w:rsid w:val="7DD52CF4"/>
    <w:rsid w:val="7DDB07C0"/>
    <w:rsid w:val="7DF6502E"/>
    <w:rsid w:val="7DF807BA"/>
    <w:rsid w:val="7E0665A6"/>
    <w:rsid w:val="7E087D35"/>
    <w:rsid w:val="7E142C45"/>
    <w:rsid w:val="7E163D6A"/>
    <w:rsid w:val="7E32369A"/>
    <w:rsid w:val="7E372D8F"/>
    <w:rsid w:val="7E381D20"/>
    <w:rsid w:val="7E4F2895"/>
    <w:rsid w:val="7E6F5FE6"/>
    <w:rsid w:val="7E7053A1"/>
    <w:rsid w:val="7E70658D"/>
    <w:rsid w:val="7E7277E2"/>
    <w:rsid w:val="7E756207"/>
    <w:rsid w:val="7E7B6FE3"/>
    <w:rsid w:val="7E7C5608"/>
    <w:rsid w:val="7E7E034F"/>
    <w:rsid w:val="7E8A512D"/>
    <w:rsid w:val="7E903A34"/>
    <w:rsid w:val="7E9237EB"/>
    <w:rsid w:val="7EB95220"/>
    <w:rsid w:val="7EC3492C"/>
    <w:rsid w:val="7EC90C5E"/>
    <w:rsid w:val="7EE37EAA"/>
    <w:rsid w:val="7EF740F1"/>
    <w:rsid w:val="7EFA7860"/>
    <w:rsid w:val="7F05482D"/>
    <w:rsid w:val="7F1B7D95"/>
    <w:rsid w:val="7F2464A6"/>
    <w:rsid w:val="7F2647E5"/>
    <w:rsid w:val="7F29292E"/>
    <w:rsid w:val="7F5814E4"/>
    <w:rsid w:val="7F5F5006"/>
    <w:rsid w:val="7F660214"/>
    <w:rsid w:val="7F683717"/>
    <w:rsid w:val="7F8F589D"/>
    <w:rsid w:val="7FC5392C"/>
    <w:rsid w:val="7FCD6AA8"/>
    <w:rsid w:val="7FCF696C"/>
    <w:rsid w:val="7FDD17D7"/>
  </w:rsids>
  <m:mathPr>
    <m:mathFont m:val="Cambria Math"/>
    <m:brkBin m:val="before"/>
    <m:brkBinSub m:val="--"/>
    <m:smallFrac m:val="1"/>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7" w:semiHidden="0" w:name="heading 1"/>
    <w:lsdException w:qFormat="1" w:unhideWhenUsed="0" w:uiPriority="8" w:semiHidden="0" w:name="heading 2"/>
    <w:lsdException w:qFormat="1" w:unhideWhenUsed="0"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iPriority="0" w:name="footnote text"/>
    <w:lsdException w:qFormat="1" w:uiPriority="0"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99" w:semiHidden="0" w:name="caption"/>
    <w:lsdException w:uiPriority="99" w:name="table of figures"/>
    <w:lsdException w:uiPriority="99" w:name="envelope address"/>
    <w:lsdException w:uiPriority="99" w:name="envelope return"/>
    <w:lsdException w:qFormat="1" w:uiPriority="0" w:name="footnote reference"/>
    <w:lsdException w:qFormat="1"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iPriority="0" w:semiHidden="0" w:name="Body Text First Indent 2"/>
    <w:lsdException w:uiPriority="99" w:name="Note Heading"/>
    <w:lsdException w:qFormat="1" w:uiPriority="0" w:semiHidden="0" w:name="Body Text 2"/>
    <w:lsdException w:uiPriority="99" w:name="Body Text 3"/>
    <w:lsdException w:uiPriority="99" w:name="Body Text Indent 2"/>
    <w:lsdException w:qFormat="1" w:unhideWhenUsed="0" w:uiPriority="0" w:semiHidden="0" w:name="Body Text Indent 3"/>
    <w:lsdException w:uiPriority="99" w:name="Block Text"/>
    <w:lsdException w:qFormat="1" w:uiPriority="99" w:semiHidden="0" w:name="Hyperlink"/>
    <w:lsdException w:qFormat="1" w:uiPriority="99" w:name="FollowedHyperlink"/>
    <w:lsdException w:qFormat="1" w:unhideWhenUsed="0" w:uiPriority="20" w:semiHidden="0" w:name="Strong"/>
    <w:lsdException w:qFormat="1" w:unhideWhenUsed="0" w:uiPriority="20" w:semiHidden="0" w:name="Emphasis"/>
    <w:lsdException w:qFormat="1" w:uiPriority="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name="HTML Code"/>
    <w:lsdException w:qFormat="1" w:uiPriority="99" w:name="HTML Definition"/>
    <w:lsdException w:qFormat="1" w:uiPriority="99" w:name="HTML Keyboard"/>
    <w:lsdException w:qFormat="1" w:uiPriority="99" w:name="HTML Preformatted"/>
    <w:lsdException w:qFormat="1" w:uiPriority="99" w:name="HTML Sample"/>
    <w:lsdException w:uiPriority="99" w:name="HTML Typewriter"/>
    <w:lsdException w:uiPriority="99" w:name="HTML Variable"/>
    <w:lsdException w:qFormat="1" w:uiPriority="99" w:name="Normal Table"/>
    <w:lsdException w:qFormat="1"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1"/>
    <w:pPr>
      <w:spacing w:before="120" w:after="100" w:afterAutospacing="1" w:line="360" w:lineRule="auto"/>
      <w:ind w:left="709" w:right="-27" w:hanging="709"/>
      <w:jc w:val="both"/>
    </w:pPr>
    <w:rPr>
      <w:rFonts w:ascii="Times New Roman" w:hAnsi="Times New Roman" w:eastAsia="宋体" w:cs="Times New Roman"/>
      <w:sz w:val="21"/>
      <w:szCs w:val="21"/>
      <w:lang w:val="en-US" w:eastAsia="zh-CN" w:bidi="ar-SA"/>
    </w:rPr>
  </w:style>
  <w:style w:type="paragraph" w:styleId="2">
    <w:name w:val="heading 1"/>
    <w:basedOn w:val="1"/>
    <w:next w:val="1"/>
    <w:autoRedefine/>
    <w:qFormat/>
    <w:uiPriority w:val="7"/>
    <w:pPr>
      <w:spacing w:before="0" w:after="330" w:line="576" w:lineRule="auto"/>
      <w:outlineLvl w:val="0"/>
    </w:pPr>
    <w:rPr>
      <w:b/>
      <w:sz w:val="44"/>
      <w:szCs w:val="44"/>
    </w:rPr>
  </w:style>
  <w:style w:type="paragraph" w:styleId="3">
    <w:name w:val="heading 2"/>
    <w:basedOn w:val="1"/>
    <w:next w:val="1"/>
    <w:autoRedefine/>
    <w:qFormat/>
    <w:uiPriority w:val="8"/>
    <w:pPr>
      <w:spacing w:before="0" w:after="260" w:line="415" w:lineRule="auto"/>
      <w:outlineLvl w:val="1"/>
    </w:pPr>
    <w:rPr>
      <w:rFonts w:ascii="Arial" w:hAnsi="Arial" w:eastAsia="黑体"/>
      <w:b/>
      <w:sz w:val="32"/>
      <w:szCs w:val="32"/>
    </w:rPr>
  </w:style>
  <w:style w:type="paragraph" w:styleId="4">
    <w:name w:val="heading 3"/>
    <w:basedOn w:val="1"/>
    <w:next w:val="5"/>
    <w:autoRedefine/>
    <w:qFormat/>
    <w:uiPriority w:val="9"/>
    <w:pPr>
      <w:outlineLvl w:val="2"/>
    </w:pPr>
    <w:rPr>
      <w:b/>
      <w:sz w:val="24"/>
      <w:szCs w:val="24"/>
    </w:rPr>
  </w:style>
  <w:style w:type="paragraph" w:styleId="6">
    <w:name w:val="heading 4"/>
    <w:basedOn w:val="1"/>
    <w:next w:val="1"/>
    <w:autoRedefine/>
    <w:qFormat/>
    <w:uiPriority w:val="0"/>
    <w:pPr>
      <w:keepNext/>
      <w:keepLines/>
      <w:spacing w:line="374" w:lineRule="auto"/>
      <w:outlineLvl w:val="3"/>
    </w:pPr>
    <w:rPr>
      <w:rFonts w:ascii="Cambria" w:hAnsi="Cambria"/>
      <w:b/>
      <w:bCs/>
      <w:sz w:val="28"/>
      <w:szCs w:val="28"/>
    </w:rPr>
  </w:style>
  <w:style w:type="character" w:default="1" w:styleId="37">
    <w:name w:val="Default Paragraph Font"/>
    <w:autoRedefine/>
    <w:semiHidden/>
    <w:unhideWhenUsed/>
    <w:qFormat/>
    <w:uiPriority w:val="1"/>
  </w:style>
  <w:style w:type="table" w:default="1" w:styleId="35">
    <w:name w:val="Normal Table"/>
    <w:autoRedefine/>
    <w:semiHidden/>
    <w:unhideWhenUsed/>
    <w:qFormat/>
    <w:uiPriority w:val="99"/>
    <w:tblPr>
      <w:tblCellMar>
        <w:top w:w="0" w:type="dxa"/>
        <w:left w:w="108" w:type="dxa"/>
        <w:bottom w:w="0" w:type="dxa"/>
        <w:right w:w="108" w:type="dxa"/>
      </w:tblCellMar>
    </w:tblPr>
  </w:style>
  <w:style w:type="paragraph" w:styleId="5">
    <w:name w:val="Normal Indent"/>
    <w:basedOn w:val="1"/>
    <w:autoRedefine/>
    <w:qFormat/>
    <w:uiPriority w:val="0"/>
    <w:pPr>
      <w:ind w:firstLine="420" w:firstLineChars="200"/>
    </w:pPr>
  </w:style>
  <w:style w:type="paragraph" w:styleId="7">
    <w:name w:val="toc 7"/>
    <w:basedOn w:val="1"/>
    <w:next w:val="1"/>
    <w:autoRedefine/>
    <w:unhideWhenUsed/>
    <w:qFormat/>
    <w:uiPriority w:val="39"/>
    <w:pPr>
      <w:widowControl w:val="0"/>
      <w:spacing w:before="0" w:after="0" w:afterAutospacing="0" w:line="240" w:lineRule="auto"/>
      <w:ind w:left="2520" w:leftChars="1200" w:right="0" w:firstLine="0"/>
    </w:pPr>
    <w:rPr>
      <w:rFonts w:asciiTheme="minorHAnsi" w:hAnsiTheme="minorHAnsi" w:eastAsiaTheme="minorEastAsia" w:cstheme="minorBidi"/>
      <w:kern w:val="2"/>
      <w:szCs w:val="22"/>
    </w:rPr>
  </w:style>
  <w:style w:type="paragraph" w:styleId="8">
    <w:name w:val="caption"/>
    <w:basedOn w:val="1"/>
    <w:next w:val="1"/>
    <w:autoRedefine/>
    <w:qFormat/>
    <w:uiPriority w:val="99"/>
    <w:pPr>
      <w:widowControl w:val="0"/>
      <w:spacing w:before="152" w:after="160" w:afterAutospacing="0" w:line="240" w:lineRule="auto"/>
      <w:ind w:left="0" w:right="0" w:firstLine="0"/>
    </w:pPr>
    <w:rPr>
      <w:rFonts w:ascii="Arial" w:hAnsi="Arial" w:eastAsia="黑体" w:cs="Arial"/>
      <w:kern w:val="2"/>
      <w:sz w:val="20"/>
      <w:szCs w:val="20"/>
    </w:rPr>
  </w:style>
  <w:style w:type="paragraph" w:styleId="9">
    <w:name w:val="Document Map"/>
    <w:basedOn w:val="1"/>
    <w:autoRedefine/>
    <w:semiHidden/>
    <w:unhideWhenUsed/>
    <w:qFormat/>
    <w:uiPriority w:val="0"/>
    <w:rPr>
      <w:rFonts w:ascii="宋体"/>
      <w:sz w:val="18"/>
      <w:szCs w:val="18"/>
    </w:rPr>
  </w:style>
  <w:style w:type="paragraph" w:styleId="10">
    <w:name w:val="annotation text"/>
    <w:basedOn w:val="1"/>
    <w:autoRedefine/>
    <w:semiHidden/>
    <w:unhideWhenUsed/>
    <w:qFormat/>
    <w:uiPriority w:val="0"/>
    <w:pPr>
      <w:jc w:val="left"/>
    </w:pPr>
  </w:style>
  <w:style w:type="paragraph" w:styleId="11">
    <w:name w:val="Body Text"/>
    <w:basedOn w:val="1"/>
    <w:link w:val="63"/>
    <w:autoRedefine/>
    <w:unhideWhenUsed/>
    <w:qFormat/>
    <w:uiPriority w:val="99"/>
    <w:pPr>
      <w:spacing w:after="120"/>
    </w:pPr>
  </w:style>
  <w:style w:type="paragraph" w:styleId="12">
    <w:name w:val="Body Text Indent"/>
    <w:basedOn w:val="1"/>
    <w:next w:val="1"/>
    <w:link w:val="70"/>
    <w:autoRedefine/>
    <w:qFormat/>
    <w:uiPriority w:val="99"/>
    <w:pPr>
      <w:spacing w:line="480" w:lineRule="exact"/>
      <w:ind w:firstLine="560" w:firstLineChars="200"/>
    </w:pPr>
    <w:rPr>
      <w:sz w:val="24"/>
    </w:rPr>
  </w:style>
  <w:style w:type="paragraph" w:styleId="13">
    <w:name w:val="toc 5"/>
    <w:basedOn w:val="1"/>
    <w:next w:val="1"/>
    <w:autoRedefine/>
    <w:unhideWhenUsed/>
    <w:qFormat/>
    <w:uiPriority w:val="39"/>
    <w:pPr>
      <w:widowControl w:val="0"/>
      <w:spacing w:before="0" w:after="0" w:afterAutospacing="0" w:line="240" w:lineRule="auto"/>
      <w:ind w:left="1680" w:leftChars="800" w:right="0" w:firstLine="0"/>
    </w:pPr>
    <w:rPr>
      <w:rFonts w:asciiTheme="minorHAnsi" w:hAnsiTheme="minorHAnsi" w:eastAsiaTheme="minorEastAsia" w:cstheme="minorBidi"/>
      <w:kern w:val="2"/>
      <w:szCs w:val="22"/>
    </w:rPr>
  </w:style>
  <w:style w:type="paragraph" w:styleId="14">
    <w:name w:val="toc 3"/>
    <w:basedOn w:val="1"/>
    <w:next w:val="1"/>
    <w:autoRedefine/>
    <w:unhideWhenUsed/>
    <w:qFormat/>
    <w:uiPriority w:val="39"/>
    <w:pPr>
      <w:ind w:left="840" w:firstLine="0"/>
    </w:pPr>
  </w:style>
  <w:style w:type="paragraph" w:styleId="15">
    <w:name w:val="Plain Text"/>
    <w:basedOn w:val="1"/>
    <w:next w:val="6"/>
    <w:link w:val="61"/>
    <w:autoRedefine/>
    <w:unhideWhenUsed/>
    <w:qFormat/>
    <w:uiPriority w:val="99"/>
    <w:rPr>
      <w:rFonts w:ascii="宋体" w:hAnsi="Courier New" w:cs="宋体"/>
      <w:sz w:val="20"/>
      <w:szCs w:val="20"/>
    </w:rPr>
  </w:style>
  <w:style w:type="paragraph" w:styleId="16">
    <w:name w:val="toc 8"/>
    <w:basedOn w:val="1"/>
    <w:next w:val="1"/>
    <w:autoRedefine/>
    <w:unhideWhenUsed/>
    <w:qFormat/>
    <w:uiPriority w:val="39"/>
    <w:pPr>
      <w:widowControl w:val="0"/>
      <w:spacing w:before="0" w:after="0" w:afterAutospacing="0" w:line="240" w:lineRule="auto"/>
      <w:ind w:left="2940" w:leftChars="1400" w:right="0" w:firstLine="0"/>
    </w:pPr>
    <w:rPr>
      <w:rFonts w:asciiTheme="minorHAnsi" w:hAnsiTheme="minorHAnsi" w:eastAsiaTheme="minorEastAsia" w:cstheme="minorBidi"/>
      <w:kern w:val="2"/>
      <w:szCs w:val="22"/>
    </w:rPr>
  </w:style>
  <w:style w:type="paragraph" w:styleId="17">
    <w:name w:val="Date"/>
    <w:basedOn w:val="1"/>
    <w:next w:val="1"/>
    <w:link w:val="65"/>
    <w:autoRedefine/>
    <w:semiHidden/>
    <w:unhideWhenUsed/>
    <w:qFormat/>
    <w:uiPriority w:val="99"/>
    <w:pPr>
      <w:ind w:left="100" w:leftChars="2500"/>
    </w:pPr>
  </w:style>
  <w:style w:type="paragraph" w:styleId="18">
    <w:name w:val="Balloon Text"/>
    <w:basedOn w:val="1"/>
    <w:autoRedefine/>
    <w:semiHidden/>
    <w:unhideWhenUsed/>
    <w:qFormat/>
    <w:uiPriority w:val="0"/>
    <w:pPr>
      <w:spacing w:after="0" w:line="240" w:lineRule="auto"/>
    </w:pPr>
    <w:rPr>
      <w:sz w:val="18"/>
      <w:szCs w:val="18"/>
    </w:rPr>
  </w:style>
  <w:style w:type="paragraph" w:styleId="19">
    <w:name w:val="footer"/>
    <w:basedOn w:val="1"/>
    <w:autoRedefine/>
    <w:qFormat/>
    <w:uiPriority w:val="99"/>
    <w:pPr>
      <w:tabs>
        <w:tab w:val="center" w:pos="4153"/>
        <w:tab w:val="right" w:pos="8306"/>
      </w:tabs>
      <w:snapToGrid w:val="0"/>
      <w:jc w:val="left"/>
    </w:pPr>
    <w:rPr>
      <w:sz w:val="18"/>
      <w:szCs w:val="18"/>
    </w:rPr>
  </w:style>
  <w:style w:type="paragraph" w:styleId="20">
    <w:name w:val="header"/>
    <w:basedOn w:val="1"/>
    <w:link w:val="72"/>
    <w:autoRedefine/>
    <w:qFormat/>
    <w:uiPriority w:val="99"/>
    <w:pPr>
      <w:pBdr>
        <w:bottom w:val="single" w:color="000000" w:sz="6" w:space="1"/>
      </w:pBdr>
      <w:tabs>
        <w:tab w:val="center" w:pos="4153"/>
        <w:tab w:val="right" w:pos="8306"/>
      </w:tabs>
      <w:snapToGrid w:val="0"/>
      <w:jc w:val="center"/>
    </w:pPr>
    <w:rPr>
      <w:sz w:val="18"/>
      <w:szCs w:val="18"/>
    </w:rPr>
  </w:style>
  <w:style w:type="paragraph" w:styleId="21">
    <w:name w:val="toc 1"/>
    <w:basedOn w:val="1"/>
    <w:next w:val="1"/>
    <w:autoRedefine/>
    <w:unhideWhenUsed/>
    <w:qFormat/>
    <w:uiPriority w:val="39"/>
  </w:style>
  <w:style w:type="paragraph" w:styleId="22">
    <w:name w:val="toc 4"/>
    <w:basedOn w:val="1"/>
    <w:next w:val="1"/>
    <w:autoRedefine/>
    <w:unhideWhenUsed/>
    <w:qFormat/>
    <w:uiPriority w:val="39"/>
    <w:pPr>
      <w:widowControl w:val="0"/>
      <w:spacing w:before="0" w:after="0" w:afterAutospacing="0" w:line="240" w:lineRule="auto"/>
      <w:ind w:left="1260" w:leftChars="600" w:right="0" w:firstLine="0"/>
    </w:pPr>
    <w:rPr>
      <w:rFonts w:asciiTheme="minorHAnsi" w:hAnsiTheme="minorHAnsi" w:eastAsiaTheme="minorEastAsia" w:cstheme="minorBidi"/>
      <w:kern w:val="2"/>
      <w:szCs w:val="22"/>
    </w:rPr>
  </w:style>
  <w:style w:type="paragraph" w:styleId="23">
    <w:name w:val="footnote text"/>
    <w:basedOn w:val="1"/>
    <w:autoRedefine/>
    <w:semiHidden/>
    <w:unhideWhenUsed/>
    <w:qFormat/>
    <w:uiPriority w:val="0"/>
    <w:pPr>
      <w:snapToGrid w:val="0"/>
      <w:jc w:val="left"/>
    </w:pPr>
    <w:rPr>
      <w:sz w:val="18"/>
      <w:szCs w:val="18"/>
    </w:rPr>
  </w:style>
  <w:style w:type="paragraph" w:styleId="24">
    <w:name w:val="toc 6"/>
    <w:basedOn w:val="1"/>
    <w:next w:val="1"/>
    <w:autoRedefine/>
    <w:unhideWhenUsed/>
    <w:qFormat/>
    <w:uiPriority w:val="39"/>
    <w:pPr>
      <w:widowControl w:val="0"/>
      <w:spacing w:before="0" w:after="0" w:afterAutospacing="0" w:line="240" w:lineRule="auto"/>
      <w:ind w:left="2100" w:leftChars="1000" w:right="0" w:firstLine="0"/>
    </w:pPr>
    <w:rPr>
      <w:rFonts w:asciiTheme="minorHAnsi" w:hAnsiTheme="minorHAnsi" w:eastAsiaTheme="minorEastAsia" w:cstheme="minorBidi"/>
      <w:kern w:val="2"/>
      <w:szCs w:val="22"/>
    </w:rPr>
  </w:style>
  <w:style w:type="paragraph" w:styleId="25">
    <w:name w:val="Body Text Indent 3"/>
    <w:basedOn w:val="1"/>
    <w:autoRedefine/>
    <w:qFormat/>
    <w:uiPriority w:val="0"/>
    <w:pPr>
      <w:spacing w:after="120"/>
      <w:ind w:left="420" w:firstLine="0"/>
    </w:pPr>
    <w:rPr>
      <w:sz w:val="16"/>
      <w:szCs w:val="16"/>
    </w:rPr>
  </w:style>
  <w:style w:type="paragraph" w:styleId="26">
    <w:name w:val="toc 2"/>
    <w:basedOn w:val="1"/>
    <w:next w:val="1"/>
    <w:autoRedefine/>
    <w:unhideWhenUsed/>
    <w:qFormat/>
    <w:uiPriority w:val="39"/>
    <w:pPr>
      <w:ind w:left="420" w:firstLine="0"/>
    </w:pPr>
  </w:style>
  <w:style w:type="paragraph" w:styleId="27">
    <w:name w:val="toc 9"/>
    <w:basedOn w:val="1"/>
    <w:next w:val="1"/>
    <w:autoRedefine/>
    <w:unhideWhenUsed/>
    <w:qFormat/>
    <w:uiPriority w:val="39"/>
    <w:pPr>
      <w:widowControl w:val="0"/>
      <w:spacing w:before="0" w:after="0" w:afterAutospacing="0" w:line="240" w:lineRule="auto"/>
      <w:ind w:left="3360" w:leftChars="1600" w:right="0" w:firstLine="0"/>
    </w:pPr>
    <w:rPr>
      <w:rFonts w:asciiTheme="minorHAnsi" w:hAnsiTheme="minorHAnsi" w:eastAsiaTheme="minorEastAsia" w:cstheme="minorBidi"/>
      <w:kern w:val="2"/>
      <w:szCs w:val="22"/>
    </w:rPr>
  </w:style>
  <w:style w:type="paragraph" w:styleId="28">
    <w:name w:val="Body Text 2"/>
    <w:basedOn w:val="1"/>
    <w:autoRedefine/>
    <w:unhideWhenUsed/>
    <w:qFormat/>
    <w:uiPriority w:val="0"/>
    <w:pPr>
      <w:spacing w:after="120" w:line="480" w:lineRule="auto"/>
    </w:pPr>
  </w:style>
  <w:style w:type="paragraph" w:styleId="29">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30">
    <w:name w:val="Normal (Web)"/>
    <w:basedOn w:val="1"/>
    <w:autoRedefine/>
    <w:unhideWhenUsed/>
    <w:qFormat/>
    <w:uiPriority w:val="99"/>
    <w:pPr>
      <w:spacing w:before="100" w:beforeAutospacing="1" w:line="240" w:lineRule="auto"/>
      <w:ind w:left="0" w:right="0" w:firstLine="0"/>
      <w:jc w:val="left"/>
    </w:pPr>
    <w:rPr>
      <w:rFonts w:ascii="Arial Unicode MS" w:hAnsi="Arial Unicode MS" w:eastAsia="Arial Unicode MS" w:cs="Arial Unicode MS"/>
      <w:sz w:val="24"/>
      <w:szCs w:val="24"/>
    </w:rPr>
  </w:style>
  <w:style w:type="paragraph" w:styleId="31">
    <w:name w:val="annotation subject"/>
    <w:basedOn w:val="10"/>
    <w:next w:val="10"/>
    <w:autoRedefine/>
    <w:semiHidden/>
    <w:unhideWhenUsed/>
    <w:qFormat/>
    <w:uiPriority w:val="0"/>
    <w:rPr>
      <w:b/>
    </w:rPr>
  </w:style>
  <w:style w:type="paragraph" w:styleId="32">
    <w:name w:val="Body Text First Indent 2"/>
    <w:basedOn w:val="12"/>
    <w:next w:val="33"/>
    <w:link w:val="71"/>
    <w:autoRedefine/>
    <w:unhideWhenUsed/>
    <w:qFormat/>
    <w:uiPriority w:val="0"/>
    <w:pPr>
      <w:spacing w:after="120" w:line="240" w:lineRule="auto"/>
      <w:ind w:left="420" w:leftChars="200" w:firstLine="420"/>
    </w:pPr>
    <w:rPr>
      <w:rFonts w:ascii="Calibri" w:hAnsi="Calibri" w:eastAsia="Times New Roman"/>
    </w:rPr>
  </w:style>
  <w:style w:type="paragraph" w:customStyle="1" w:styleId="33">
    <w:name w:val="Intense Quote"/>
    <w:basedOn w:val="34"/>
    <w:next w:val="34"/>
    <w:autoRedefine/>
    <w:qFormat/>
    <w:uiPriority w:val="0"/>
    <w:pPr>
      <w:pBdr>
        <w:bottom w:val="single" w:color="4F81BD" w:sz="4" w:space="4"/>
      </w:pBdr>
      <w:spacing w:before="200" w:after="280"/>
      <w:ind w:left="936" w:right="936"/>
    </w:pPr>
    <w:rPr>
      <w:b/>
      <w:bCs/>
      <w:i/>
      <w:iCs/>
      <w:color w:val="4F81BD"/>
      <w:kern w:val="0"/>
      <w:sz w:val="20"/>
      <w:szCs w:val="20"/>
    </w:rPr>
  </w:style>
  <w:style w:type="paragraph" w:customStyle="1" w:styleId="34">
    <w:name w:val="Normal_1"/>
    <w:next w:val="32"/>
    <w:autoRedefine/>
    <w:qFormat/>
    <w:uiPriority w:val="0"/>
    <w:pPr>
      <w:widowControl w:val="0"/>
      <w:jc w:val="both"/>
    </w:pPr>
    <w:rPr>
      <w:rFonts w:ascii="Calibri" w:hAnsi="Calibri" w:eastAsia="宋体" w:cs="Times New Roman"/>
      <w:lang w:val="en-US" w:eastAsia="zh-CN" w:bidi="ar-SA"/>
    </w:rPr>
  </w:style>
  <w:style w:type="table" w:styleId="36">
    <w:name w:val="Table Grid"/>
    <w:basedOn w:val="35"/>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8">
    <w:name w:val="Strong"/>
    <w:autoRedefine/>
    <w:qFormat/>
    <w:uiPriority w:val="20"/>
    <w:rPr>
      <w:rFonts w:cs="Times New Roman"/>
      <w:b/>
    </w:rPr>
  </w:style>
  <w:style w:type="character" w:styleId="39">
    <w:name w:val="page number"/>
    <w:basedOn w:val="37"/>
    <w:autoRedefine/>
    <w:qFormat/>
    <w:uiPriority w:val="0"/>
  </w:style>
  <w:style w:type="character" w:styleId="40">
    <w:name w:val="FollowedHyperlink"/>
    <w:basedOn w:val="37"/>
    <w:autoRedefine/>
    <w:semiHidden/>
    <w:unhideWhenUsed/>
    <w:qFormat/>
    <w:uiPriority w:val="99"/>
    <w:rPr>
      <w:color w:val="666666"/>
      <w:u w:val="none"/>
    </w:rPr>
  </w:style>
  <w:style w:type="character" w:styleId="41">
    <w:name w:val="HTML Definition"/>
    <w:basedOn w:val="37"/>
    <w:autoRedefine/>
    <w:semiHidden/>
    <w:unhideWhenUsed/>
    <w:qFormat/>
    <w:uiPriority w:val="99"/>
    <w:rPr>
      <w:i/>
      <w:iCs/>
    </w:rPr>
  </w:style>
  <w:style w:type="character" w:styleId="42">
    <w:name w:val="Hyperlink"/>
    <w:basedOn w:val="37"/>
    <w:autoRedefine/>
    <w:unhideWhenUsed/>
    <w:qFormat/>
    <w:uiPriority w:val="99"/>
    <w:rPr>
      <w:color w:val="0000FF"/>
      <w:u w:val="single"/>
    </w:rPr>
  </w:style>
  <w:style w:type="character" w:styleId="43">
    <w:name w:val="HTML Code"/>
    <w:basedOn w:val="37"/>
    <w:autoRedefine/>
    <w:semiHidden/>
    <w:unhideWhenUsed/>
    <w:qFormat/>
    <w:uiPriority w:val="99"/>
    <w:rPr>
      <w:rFonts w:ascii="Consolas" w:hAnsi="Consolas" w:eastAsia="Consolas" w:cs="Consolas"/>
      <w:color w:val="C7254E"/>
      <w:sz w:val="21"/>
      <w:szCs w:val="21"/>
      <w:shd w:val="clear" w:color="auto" w:fill="F9F2F4"/>
    </w:rPr>
  </w:style>
  <w:style w:type="character" w:styleId="44">
    <w:name w:val="annotation reference"/>
    <w:basedOn w:val="37"/>
    <w:autoRedefine/>
    <w:semiHidden/>
    <w:unhideWhenUsed/>
    <w:qFormat/>
    <w:uiPriority w:val="0"/>
    <w:rPr>
      <w:sz w:val="21"/>
      <w:szCs w:val="21"/>
    </w:rPr>
  </w:style>
  <w:style w:type="character" w:styleId="45">
    <w:name w:val="footnote reference"/>
    <w:basedOn w:val="37"/>
    <w:autoRedefine/>
    <w:semiHidden/>
    <w:unhideWhenUsed/>
    <w:qFormat/>
    <w:uiPriority w:val="0"/>
    <w:rPr>
      <w:vertAlign w:val="superscript"/>
    </w:rPr>
  </w:style>
  <w:style w:type="character" w:styleId="46">
    <w:name w:val="HTML Keyboard"/>
    <w:basedOn w:val="37"/>
    <w:autoRedefine/>
    <w:semiHidden/>
    <w:unhideWhenUsed/>
    <w:qFormat/>
    <w:uiPriority w:val="99"/>
    <w:rPr>
      <w:rFonts w:hint="default" w:ascii="Consolas" w:hAnsi="Consolas" w:eastAsia="Consolas" w:cs="Consolas"/>
      <w:color w:val="FFFFFF"/>
      <w:sz w:val="21"/>
      <w:szCs w:val="21"/>
      <w:shd w:val="clear" w:color="auto" w:fill="333333"/>
    </w:rPr>
  </w:style>
  <w:style w:type="character" w:styleId="47">
    <w:name w:val="HTML Sample"/>
    <w:basedOn w:val="37"/>
    <w:autoRedefine/>
    <w:semiHidden/>
    <w:unhideWhenUsed/>
    <w:qFormat/>
    <w:uiPriority w:val="99"/>
    <w:rPr>
      <w:rFonts w:hint="default" w:ascii="Consolas" w:hAnsi="Consolas" w:eastAsia="Consolas" w:cs="Consolas"/>
      <w:sz w:val="21"/>
      <w:szCs w:val="21"/>
    </w:rPr>
  </w:style>
  <w:style w:type="paragraph" w:styleId="48">
    <w:name w:val="List Paragraph"/>
    <w:basedOn w:val="1"/>
    <w:autoRedefine/>
    <w:qFormat/>
    <w:uiPriority w:val="34"/>
    <w:pPr>
      <w:ind w:firstLine="200"/>
    </w:pPr>
    <w:rPr>
      <w:rFonts w:ascii="Calibri" w:hAnsi="Calibri"/>
    </w:rPr>
  </w:style>
  <w:style w:type="character" w:customStyle="1" w:styleId="49">
    <w:name w:val="正文文本 2 Char"/>
    <w:basedOn w:val="37"/>
    <w:autoRedefine/>
    <w:qFormat/>
    <w:uiPriority w:val="0"/>
    <w:rPr>
      <w:rFonts w:ascii="Times New Roman" w:hAnsi="Times New Roman" w:eastAsia="宋体" w:cs="Times New Roman"/>
    </w:rPr>
  </w:style>
  <w:style w:type="character" w:customStyle="1" w:styleId="50">
    <w:name w:val="16"/>
    <w:basedOn w:val="37"/>
    <w:autoRedefine/>
    <w:qFormat/>
    <w:uiPriority w:val="0"/>
    <w:rPr>
      <w:rFonts w:hint="default" w:ascii="Times New Roman" w:hAnsi="Times New Roman" w:cs="Times New Roman"/>
      <w:color w:val="0000FF"/>
      <w:u w:val="single"/>
    </w:rPr>
  </w:style>
  <w:style w:type="character" w:customStyle="1" w:styleId="51">
    <w:name w:val="15"/>
    <w:basedOn w:val="37"/>
    <w:autoRedefine/>
    <w:qFormat/>
    <w:uiPriority w:val="0"/>
    <w:rPr>
      <w:rFonts w:hint="default" w:ascii="Times New Roman" w:hAnsi="Times New Roman" w:cs="Times New Roman"/>
      <w:color w:val="0000FF"/>
      <w:u w:val="single"/>
    </w:rPr>
  </w:style>
  <w:style w:type="character" w:customStyle="1" w:styleId="52">
    <w:name w:val="标题 3 Char"/>
    <w:autoRedefine/>
    <w:qFormat/>
    <w:uiPriority w:val="0"/>
    <w:rPr>
      <w:b/>
      <w:sz w:val="24"/>
      <w:szCs w:val="24"/>
    </w:rPr>
  </w:style>
  <w:style w:type="character" w:customStyle="1" w:styleId="53">
    <w:name w:val="标题 2 Char"/>
    <w:autoRedefine/>
    <w:qFormat/>
    <w:uiPriority w:val="0"/>
    <w:rPr>
      <w:rFonts w:ascii="Arial" w:hAnsi="Arial" w:eastAsia="黑体"/>
      <w:b/>
      <w:sz w:val="32"/>
      <w:szCs w:val="32"/>
    </w:rPr>
  </w:style>
  <w:style w:type="character" w:customStyle="1" w:styleId="54">
    <w:name w:val="批注框文本 Char"/>
    <w:basedOn w:val="37"/>
    <w:autoRedefine/>
    <w:semiHidden/>
    <w:qFormat/>
    <w:uiPriority w:val="0"/>
    <w:rPr>
      <w:sz w:val="18"/>
      <w:szCs w:val="18"/>
    </w:rPr>
  </w:style>
  <w:style w:type="character" w:customStyle="1" w:styleId="55">
    <w:name w:val="批注文字 Char"/>
    <w:basedOn w:val="37"/>
    <w:autoRedefine/>
    <w:semiHidden/>
    <w:qFormat/>
    <w:uiPriority w:val="0"/>
    <w:rPr>
      <w:sz w:val="21"/>
      <w:szCs w:val="21"/>
    </w:rPr>
  </w:style>
  <w:style w:type="character" w:customStyle="1" w:styleId="56">
    <w:name w:val="批注主题 Char"/>
    <w:basedOn w:val="55"/>
    <w:autoRedefine/>
    <w:semiHidden/>
    <w:qFormat/>
    <w:uiPriority w:val="0"/>
    <w:rPr>
      <w:b/>
      <w:sz w:val="21"/>
      <w:szCs w:val="21"/>
    </w:rPr>
  </w:style>
  <w:style w:type="character" w:customStyle="1" w:styleId="57">
    <w:name w:val="文档结构图 Char"/>
    <w:basedOn w:val="37"/>
    <w:autoRedefine/>
    <w:semiHidden/>
    <w:qFormat/>
    <w:uiPriority w:val="0"/>
    <w:rPr>
      <w:rFonts w:ascii="宋体"/>
      <w:sz w:val="18"/>
      <w:szCs w:val="18"/>
    </w:rPr>
  </w:style>
  <w:style w:type="character" w:customStyle="1" w:styleId="58">
    <w:name w:val="页脚 Char"/>
    <w:autoRedefine/>
    <w:qFormat/>
    <w:uiPriority w:val="99"/>
    <w:rPr>
      <w:sz w:val="18"/>
      <w:szCs w:val="18"/>
    </w:rPr>
  </w:style>
  <w:style w:type="character" w:customStyle="1" w:styleId="59">
    <w:name w:val="脚注文本 Char"/>
    <w:basedOn w:val="37"/>
    <w:autoRedefine/>
    <w:semiHidden/>
    <w:qFormat/>
    <w:uiPriority w:val="0"/>
    <w:rPr>
      <w:sz w:val="18"/>
      <w:szCs w:val="18"/>
    </w:rPr>
  </w:style>
  <w:style w:type="paragraph" w:customStyle="1" w:styleId="60">
    <w:name w:val="TOC 标题1"/>
    <w:basedOn w:val="2"/>
    <w:next w:val="1"/>
    <w:autoRedefine/>
    <w:unhideWhenUsed/>
    <w:qFormat/>
    <w:uiPriority w:val="39"/>
    <w:pPr>
      <w:keepNext/>
      <w:keepLines/>
      <w:spacing w:before="480" w:after="0" w:afterAutospacing="0" w:line="276" w:lineRule="auto"/>
      <w:ind w:left="0" w:right="0" w:firstLine="0"/>
      <w:jc w:val="left"/>
      <w:outlineLvl w:val="9"/>
    </w:pPr>
    <w:rPr>
      <w:rFonts w:asciiTheme="majorHAnsi" w:hAnsiTheme="majorHAnsi" w:eastAsiaTheme="majorEastAsia" w:cstheme="majorBidi"/>
      <w:bCs/>
      <w:color w:val="376092" w:themeColor="accent1" w:themeShade="BF"/>
      <w:sz w:val="28"/>
      <w:szCs w:val="28"/>
    </w:rPr>
  </w:style>
  <w:style w:type="character" w:customStyle="1" w:styleId="61">
    <w:name w:val="纯文本 字符"/>
    <w:link w:val="15"/>
    <w:autoRedefine/>
    <w:qFormat/>
    <w:locked/>
    <w:uiPriority w:val="99"/>
    <w:rPr>
      <w:rFonts w:ascii="宋体" w:hAnsi="Courier New" w:cs="宋体"/>
    </w:rPr>
  </w:style>
  <w:style w:type="paragraph" w:customStyle="1" w:styleId="62">
    <w:name w:val="修订1"/>
    <w:autoRedefine/>
    <w:hidden/>
    <w:semiHidden/>
    <w:qFormat/>
    <w:uiPriority w:val="99"/>
    <w:rPr>
      <w:rFonts w:ascii="Times New Roman" w:hAnsi="Times New Roman" w:eastAsia="宋体" w:cs="Times New Roman"/>
      <w:sz w:val="21"/>
      <w:szCs w:val="21"/>
      <w:lang w:val="en-US" w:eastAsia="zh-CN" w:bidi="ar-SA"/>
    </w:rPr>
  </w:style>
  <w:style w:type="character" w:customStyle="1" w:styleId="63">
    <w:name w:val="正文文本 字符"/>
    <w:basedOn w:val="37"/>
    <w:link w:val="11"/>
    <w:autoRedefine/>
    <w:qFormat/>
    <w:uiPriority w:val="99"/>
    <w:rPr>
      <w:sz w:val="21"/>
      <w:szCs w:val="21"/>
    </w:rPr>
  </w:style>
  <w:style w:type="paragraph" w:customStyle="1" w:styleId="64">
    <w:name w:val="修订2"/>
    <w:autoRedefine/>
    <w:hidden/>
    <w:unhideWhenUsed/>
    <w:qFormat/>
    <w:uiPriority w:val="99"/>
    <w:rPr>
      <w:rFonts w:ascii="Times New Roman" w:hAnsi="Times New Roman" w:eastAsia="宋体" w:cs="Times New Roman"/>
      <w:sz w:val="21"/>
      <w:szCs w:val="21"/>
      <w:lang w:val="en-US" w:eastAsia="zh-CN" w:bidi="ar-SA"/>
    </w:rPr>
  </w:style>
  <w:style w:type="character" w:customStyle="1" w:styleId="65">
    <w:name w:val="日期 字符"/>
    <w:basedOn w:val="37"/>
    <w:link w:val="17"/>
    <w:autoRedefine/>
    <w:semiHidden/>
    <w:qFormat/>
    <w:uiPriority w:val="99"/>
    <w:rPr>
      <w:sz w:val="21"/>
      <w:szCs w:val="21"/>
    </w:rPr>
  </w:style>
  <w:style w:type="paragraph" w:customStyle="1" w:styleId="66">
    <w:name w:val="正文1"/>
    <w:autoRedefine/>
    <w:qFormat/>
    <w:uiPriority w:val="0"/>
    <w:pPr>
      <w:jc w:val="both"/>
    </w:pPr>
    <w:rPr>
      <w:rFonts w:ascii="Times New Roman" w:hAnsi="Times New Roman" w:eastAsia="宋体" w:cs="Times New Roman"/>
      <w:kern w:val="2"/>
      <w:sz w:val="21"/>
      <w:szCs w:val="21"/>
      <w:lang w:val="en-US" w:eastAsia="zh-CN" w:bidi="ar-SA"/>
    </w:rPr>
  </w:style>
  <w:style w:type="character" w:customStyle="1" w:styleId="67">
    <w:name w:val="disabled1"/>
    <w:basedOn w:val="37"/>
    <w:autoRedefine/>
    <w:qFormat/>
    <w:uiPriority w:val="0"/>
  </w:style>
  <w:style w:type="character" w:customStyle="1" w:styleId="68">
    <w:name w:val="layui-layer-tabnow"/>
    <w:basedOn w:val="37"/>
    <w:autoRedefine/>
    <w:qFormat/>
    <w:uiPriority w:val="0"/>
    <w:rPr>
      <w:bdr w:val="single" w:color="CCCCCC" w:sz="4" w:space="0"/>
      <w:shd w:val="clear" w:color="auto" w:fill="FFFFFF"/>
    </w:rPr>
  </w:style>
  <w:style w:type="character" w:customStyle="1" w:styleId="69">
    <w:name w:val="first-child"/>
    <w:basedOn w:val="37"/>
    <w:autoRedefine/>
    <w:qFormat/>
    <w:uiPriority w:val="0"/>
  </w:style>
  <w:style w:type="character" w:customStyle="1" w:styleId="70">
    <w:name w:val="正文文本缩进 字符"/>
    <w:basedOn w:val="37"/>
    <w:link w:val="12"/>
    <w:autoRedefine/>
    <w:qFormat/>
    <w:uiPriority w:val="99"/>
    <w:rPr>
      <w:sz w:val="24"/>
      <w:szCs w:val="21"/>
    </w:rPr>
  </w:style>
  <w:style w:type="character" w:customStyle="1" w:styleId="71">
    <w:name w:val="正文文本首行缩进 2 字符"/>
    <w:basedOn w:val="70"/>
    <w:link w:val="32"/>
    <w:autoRedefine/>
    <w:qFormat/>
    <w:uiPriority w:val="99"/>
    <w:rPr>
      <w:rFonts w:ascii="Calibri" w:hAnsi="Calibri" w:eastAsia="Times New Roman"/>
      <w:sz w:val="24"/>
      <w:szCs w:val="21"/>
    </w:rPr>
  </w:style>
  <w:style w:type="character" w:customStyle="1" w:styleId="72">
    <w:name w:val="页眉 字符"/>
    <w:basedOn w:val="37"/>
    <w:link w:val="20"/>
    <w:autoRedefine/>
    <w:qFormat/>
    <w:uiPriority w:val="99"/>
    <w:rPr>
      <w:sz w:val="18"/>
      <w:szCs w:val="18"/>
    </w:rPr>
  </w:style>
  <w:style w:type="paragraph" w:customStyle="1" w:styleId="73">
    <w:name w:val="样式 行距: 1.5 倍行距 首行缩进:  2 字符"/>
    <w:basedOn w:val="1"/>
    <w:autoRedefine/>
    <w:qFormat/>
    <w:uiPriority w:val="0"/>
    <w:pPr>
      <w:snapToGrid w:val="0"/>
      <w:spacing w:line="460" w:lineRule="exact"/>
    </w:pPr>
    <w:rPr>
      <w:sz w:val="24"/>
      <w:szCs w:val="24"/>
    </w:rPr>
  </w:style>
  <w:style w:type="paragraph" w:customStyle="1" w:styleId="74">
    <w:name w:val="Default"/>
    <w:autoRedefine/>
    <w:qFormat/>
    <w:uiPriority w:val="0"/>
    <w:pPr>
      <w:widowControl w:val="0"/>
      <w:autoSpaceDE w:val="0"/>
      <w:autoSpaceDN w:val="0"/>
      <w:adjustRightInd w:val="0"/>
    </w:pPr>
    <w:rPr>
      <w:rFonts w:hint="eastAsia" w:ascii="宋体" w:hAnsi="Calibri" w:eastAsia="宋体" w:cs="Times New Roman"/>
      <w:color w:val="000000"/>
      <w:sz w:val="24"/>
      <w:lang w:val="en-US" w:eastAsia="zh-CN" w:bidi="ar-SA"/>
    </w:rPr>
  </w:style>
  <w:style w:type="paragraph" w:customStyle="1" w:styleId="75">
    <w:name w:val="列出段落3"/>
    <w:basedOn w:val="1"/>
    <w:autoRedefine/>
    <w:qFormat/>
    <w:uiPriority w:val="99"/>
    <w:pPr>
      <w:widowControl w:val="0"/>
      <w:adjustRightInd w:val="0"/>
      <w:spacing w:before="0" w:after="0" w:afterAutospacing="0" w:line="312" w:lineRule="atLeast"/>
      <w:ind w:left="0" w:right="0" w:firstLine="420" w:firstLineChars="200"/>
      <w:textAlignment w:val="baseline"/>
    </w:pPr>
    <w:rPr>
      <w:szCs w:val="20"/>
    </w:rPr>
  </w:style>
  <w:style w:type="paragraph" w:customStyle="1" w:styleId="76">
    <w:name w:val="正文_3_0"/>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77">
    <w:name w:val="修订3"/>
    <w:autoRedefine/>
    <w:hidden/>
    <w:semiHidden/>
    <w:qFormat/>
    <w:uiPriority w:val="99"/>
    <w:rPr>
      <w:rFonts w:ascii="Times New Roman" w:hAnsi="Times New Roman" w:eastAsia="宋体" w:cs="Times New Roman"/>
      <w:sz w:val="21"/>
      <w:szCs w:val="21"/>
      <w:lang w:val="en-US" w:eastAsia="zh-CN" w:bidi="ar-SA"/>
    </w:rPr>
  </w:style>
  <w:style w:type="paragraph" w:customStyle="1" w:styleId="78">
    <w:name w:val="Blockquote"/>
    <w:basedOn w:val="1"/>
    <w:autoRedefine/>
    <w:qFormat/>
    <w:uiPriority w:val="0"/>
    <w:pPr>
      <w:autoSpaceDE w:val="0"/>
      <w:autoSpaceDN w:val="0"/>
      <w:spacing w:before="100" w:line="240" w:lineRule="auto"/>
      <w:ind w:left="360" w:right="360"/>
      <w:jc w:val="left"/>
    </w:pPr>
    <w:rPr>
      <w:sz w:val="24"/>
    </w:rPr>
  </w:style>
  <w:style w:type="paragraph" w:customStyle="1" w:styleId="79">
    <w:name w:val="正文_2"/>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80">
    <w:name w:val="正文_4"/>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81">
    <w:name w:val="List Paragraph1"/>
    <w:basedOn w:val="1"/>
    <w:autoRedefine/>
    <w:qFormat/>
    <w:uiPriority w:val="99"/>
    <w:pPr>
      <w:ind w:firstLine="420" w:firstLineChars="200"/>
    </w:pPr>
  </w:style>
  <w:style w:type="paragraph" w:customStyle="1" w:styleId="82">
    <w:name w:val="列出段落1"/>
    <w:basedOn w:val="1"/>
    <w:autoRedefine/>
    <w:qFormat/>
    <w:uiPriority w:val="34"/>
    <w:pPr>
      <w:ind w:firstLine="420" w:firstLineChars="200"/>
    </w:pPr>
    <w:rPr>
      <w:rFonts w:ascii="Calibri" w:hAnsi="Calibri"/>
      <w:szCs w:val="22"/>
    </w:rPr>
  </w:style>
  <w:style w:type="paragraph" w:customStyle="1" w:styleId="83">
    <w:name w:val="小标"/>
    <w:basedOn w:val="1"/>
    <w:autoRedefine/>
    <w:qFormat/>
    <w:uiPriority w:val="0"/>
    <w:pPr>
      <w:autoSpaceDE w:val="0"/>
      <w:autoSpaceDN w:val="0"/>
      <w:adjustRightInd w:val="0"/>
      <w:spacing w:line="288" w:lineRule="auto"/>
      <w:ind w:firstLine="480"/>
      <w:jc w:val="left"/>
      <w:textAlignment w:val="baseline"/>
    </w:pPr>
    <w:rPr>
      <w:rFonts w:ascii="黑体" w:eastAsia="黑体"/>
      <w:sz w:val="28"/>
      <w:szCs w:val="20"/>
    </w:rPr>
  </w:style>
  <w:style w:type="paragraph" w:customStyle="1" w:styleId="84">
    <w:name w:val="大分"/>
    <w:basedOn w:val="1"/>
    <w:autoRedefine/>
    <w:qFormat/>
    <w:uiPriority w:val="0"/>
    <w:pPr>
      <w:autoSpaceDE w:val="0"/>
      <w:autoSpaceDN w:val="0"/>
      <w:adjustRightInd w:val="0"/>
      <w:spacing w:line="288" w:lineRule="auto"/>
      <w:ind w:firstLine="480"/>
      <w:jc w:val="left"/>
      <w:textAlignment w:val="baseline"/>
    </w:pPr>
    <w:rPr>
      <w:rFonts w:ascii="宋体"/>
      <w:sz w:val="24"/>
      <w:szCs w:val="20"/>
    </w:rPr>
  </w:style>
  <w:style w:type="paragraph" w:customStyle="1" w:styleId="85">
    <w:name w:val="小分点"/>
    <w:basedOn w:val="66"/>
    <w:autoRedefine/>
    <w:qFormat/>
    <w:uiPriority w:val="0"/>
    <w:pPr>
      <w:ind w:left="1680" w:hanging="603"/>
    </w:pPr>
  </w:style>
  <w:style w:type="paragraph" w:customStyle="1" w:styleId="86">
    <w:name w:val="正文 New New New New New New New New New New New New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7">
    <w:name w:val="Table Text"/>
    <w:basedOn w:val="1"/>
    <w:semiHidden/>
    <w:qFormat/>
    <w:uiPriority w:val="0"/>
    <w:rPr>
      <w:rFonts w:ascii="宋体" w:hAnsi="宋体" w:eastAsia="宋体" w:cs="宋体"/>
      <w:sz w:val="18"/>
      <w:szCs w:val="18"/>
      <w:lang w:val="en-US" w:eastAsia="en-US" w:bidi="ar-SA"/>
    </w:rPr>
  </w:style>
  <w:style w:type="table" w:customStyle="1" w:styleId="88">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header" Target="header4.xml"/><Relationship Id="rId18" Type="http://schemas.openxmlformats.org/officeDocument/2006/relationships/footer" Target="footer11.xml"/><Relationship Id="rId17" Type="http://schemas.openxmlformats.org/officeDocument/2006/relationships/header" Target="header3.xml"/><Relationship Id="rId16" Type="http://schemas.openxmlformats.org/officeDocument/2006/relationships/header" Target="header2.xml"/><Relationship Id="rId15" Type="http://schemas.openxmlformats.org/officeDocument/2006/relationships/footer" Target="footer10.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597FC0-CBF2-4294-8332-34214648AF03}">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70</Pages>
  <Words>34789</Words>
  <Characters>36489</Characters>
  <Lines>216</Lines>
  <Paragraphs>60</Paragraphs>
  <TotalTime>4</TotalTime>
  <ScaleCrop>false</ScaleCrop>
  <LinksUpToDate>false</LinksUpToDate>
  <CharactersWithSpaces>39536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2020-06-14T10:47:00Z</dcterms:created>
  <dc:creator>NTKO</dc:creator>
  <cp:lastModifiedBy>会思考的羊</cp:lastModifiedBy>
  <cp:lastPrinted>2022-09-13T09:35:00Z</cp:lastPrinted>
  <dcterms:modified xsi:type="dcterms:W3CDTF">2024-06-11T12:44:21Z</dcterms:modified>
  <cp:revision>643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3AA134A76487423593A776717439CDFA</vt:lpwstr>
  </property>
</Properties>
</file>